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  <w:lang w:eastAsia="zh-CN"/>
        </w:rPr>
        <w:t>集中性实践环节</w:t>
      </w:r>
      <w:r>
        <w:rPr>
          <w:rFonts w:ascii="宋体" w:hAnsi="宋体" w:eastAsia="宋体" w:cs="宋体"/>
          <w:b/>
          <w:sz w:val="36"/>
          <w:szCs w:val="36"/>
        </w:rPr>
        <w:t>教学大纲</w:t>
      </w:r>
    </w:p>
    <w:p>
      <w:pPr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排版说明：</w:t>
      </w:r>
      <w:r>
        <w:rPr>
          <w:rFonts w:hint="eastAsia" w:ascii="宋体" w:hAnsi="宋体" w:eastAsia="宋体" w:cs="宋体"/>
          <w:bCs/>
          <w:color w:val="FF0000"/>
          <w:sz w:val="24"/>
        </w:rPr>
        <w:t>表格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及表格备注采用五号宋体、单倍行距；其他</w:t>
      </w:r>
      <w:r>
        <w:rPr>
          <w:rFonts w:hint="eastAsia" w:ascii="宋体" w:hAnsi="宋体" w:eastAsia="宋体" w:cs="宋体"/>
          <w:bCs/>
          <w:color w:val="FF0000"/>
          <w:sz w:val="24"/>
        </w:rPr>
        <w:t>正文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黑体"/>
          <w:b/>
          <w:bCs/>
          <w:color w:val="FF0000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W w:w="85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806"/>
        <w:gridCol w:w="1275"/>
        <w:gridCol w:w="8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szCs w:val="21"/>
                <w:lang w:eastAsia="zh-CN"/>
              </w:rPr>
              <w:t>实践环节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名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称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szCs w:val="21"/>
                <w:lang w:eastAsia="zh-CN"/>
              </w:rPr>
              <w:t>即课程名称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周数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1778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  <w:lang w:eastAsia="zh-CN"/>
              </w:rPr>
              <w:t>适用微专业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b/>
                <w:szCs w:val="21"/>
                <w:lang w:eastAsia="zh-CN"/>
              </w:rPr>
              <w:t>环节类型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</w:t>
            </w:r>
            <w:r>
              <w:rPr>
                <w:rFonts w:hint="eastAsia" w:hAnsi="宋体"/>
                <w:b/>
                <w:bCs/>
                <w:szCs w:val="21"/>
                <w:lang w:eastAsia="zh-CN"/>
              </w:rPr>
              <w:t>践环节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0"/>
          <w:numId w:val="1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before="120" w:after="120" w:line="400" w:lineRule="exact"/>
        <w:ind w:firstLine="482" w:firstLineChars="200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</w:t>
      </w:r>
      <w:r>
        <w:rPr>
          <w:rFonts w:hint="eastAsia" w:ascii="黑体" w:hAnsi="黑体" w:eastAsia="黑体" w:cs="黑体"/>
          <w:b/>
          <w:bCs/>
          <w:sz w:val="24"/>
          <w:lang w:eastAsia="zh-CN"/>
        </w:rPr>
        <w:t>践</w:t>
      </w:r>
      <w:r>
        <w:rPr>
          <w:rFonts w:hint="eastAsia" w:ascii="黑体" w:hAnsi="黑体" w:eastAsia="黑体" w:cs="黑体"/>
          <w:b/>
          <w:bCs/>
          <w:sz w:val="24"/>
        </w:rPr>
        <w:t>内容和方法</w:t>
      </w:r>
    </w:p>
    <w:tbl>
      <w:tblPr>
        <w:tblStyle w:val="5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1559"/>
        <w:gridCol w:w="135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实践</w:t>
            </w:r>
          </w:p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（</w:t>
            </w:r>
            <w:r>
              <w:rPr>
                <w:rFonts w:hint="eastAsia"/>
                <w:szCs w:val="21"/>
              </w:rPr>
              <w:t>这部分内容中要有思政融合点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天数</w:t>
            </w:r>
            <w: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  <w:t>/周数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形式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***等案例或***等内容让学生树立****情怀或***精神或建立***理念（主要是体现本章课程思政思路做法）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如观摩听课、现场采访、现场指导、示范模拟、线上学习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四、课程考核与</w:t>
      </w:r>
      <w:r>
        <w:rPr>
          <w:rFonts w:ascii="Times New Roman" w:hAnsi="Times New Roman" w:eastAsia="宋体"/>
          <w:b/>
          <w:sz w:val="24"/>
        </w:rPr>
        <w:t>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课程采用形成性评价方法，学期总评成绩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、日（周）记、作品演示汇报、小组答辩、实践报告等，对教育实习包括但不仅限于课程思政实践、、教案、听课记录、班主任工作、主题班会、家访记录、教育调查报告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举例如下：</w:t>
      </w:r>
    </w:p>
    <w:tbl>
      <w:tblPr>
        <w:tblStyle w:val="5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883"/>
        <w:gridCol w:w="12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通过课外文献查阅、课堂展示、课堂小组讨论、阅读报告等多种形式，考查学生对我国相关先进技术的了解情况以及核心价值观状况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日（周）记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根据日（周）记</w:t>
            </w: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针对非教育实习的各类集中性实践环节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作品演示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根据作品完成质量、演示的情况进行评分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作品汇报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根据作品完成质量、汇报的情况进行评分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根据综合实验小组的PPT质量、问题分析与解决方案的陈述和答辩质量评分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教案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根据教案的规范性、教学内容的目标性、教学方法的可行性等进行评分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针对教育实习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听课记录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根据听课记录的规范性以及对听课对象的评价是否到位等进行评分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班主任工作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根据对班级基本情况的掌握情况、班级学风的优良情况以及班级管理的有效性等进行评分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主题班会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根据主题班会设计的可行性、过程组织的合理性以及班会效果的达成度等进行评分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家访记录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根据家记的目的是否达到、采用的方法是否可行以及家访效果分析是否准确等进行评分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教育调查报告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各考核方式*所占比例之和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51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56" w:beforeLines="50" w:after="156" w:afterLines="50" w:line="400" w:lineRule="exac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cs="宋体"/>
          <w:szCs w:val="21"/>
          <w:lang w:eastAsia="zh-CN"/>
        </w:rPr>
        <w:t>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1CF70D6"/>
    <w:rsid w:val="064B71C0"/>
    <w:rsid w:val="184954A8"/>
    <w:rsid w:val="187D7A1A"/>
    <w:rsid w:val="2FD905B1"/>
    <w:rsid w:val="33F90C11"/>
    <w:rsid w:val="46E04202"/>
    <w:rsid w:val="4B6010FA"/>
    <w:rsid w:val="522B0ABA"/>
    <w:rsid w:val="61CF70D6"/>
    <w:rsid w:val="679966A4"/>
    <w:rsid w:val="77A92D96"/>
    <w:rsid w:val="78A1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1810</Characters>
  <Lines>0</Lines>
  <Paragraphs>0</Paragraphs>
  <TotalTime>0</TotalTime>
  <ScaleCrop>false</ScaleCrop>
  <LinksUpToDate>false</LinksUpToDate>
  <CharactersWithSpaces>1831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2023-07-17T01:36:00Z</dcterms:created>
  <dc:creator>admin</dc:creator>
  <cp:lastModifiedBy>Administrator</cp:lastModifiedBy>
  <dcterms:modified xsi:type="dcterms:W3CDTF">2023-09-18T02:09:59Z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FC1E62FEEB524F96A7E0A5E9BDAF4ED5_13</vt:lpwstr>
  </property>
</Properties>
</file>