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hd w:val="clear" w:color="auto" w:fill="FFFFFF"/>
        <w:spacing w:after="240" w:line="900" w:lineRule="atLeast"/>
        <w:jc w:val="center"/>
        <w:rPr>
          <w:rFonts w:ascii="仿宋_GB2312" w:eastAsia="仿宋_GB2312" w:cs="仿宋_GB2312"/>
          <w:b/>
          <w:bCs/>
          <w:color w:val="1F497D" w:themeColor="text2"/>
          <w:kern w:val="0"/>
          <w:sz w:val="36"/>
          <w:szCs w:val="36"/>
          <w:shd w:val="clear" w:color="auto" w:fill="FFFFFF"/>
          <w14:textFill>
            <w14:solidFill>
              <w14:schemeClr w14:val="tx2"/>
            </w14:solidFill>
          </w14:textFill>
        </w:rPr>
      </w:pPr>
      <w:r>
        <w:rPr>
          <w:rFonts w:hint="eastAsia" w:ascii="仿宋_GB2312" w:eastAsia="仿宋_GB2312" w:cs="仿宋_GB2312"/>
          <w:b/>
          <w:bCs/>
          <w:color w:val="1F497D" w:themeColor="text2"/>
          <w:kern w:val="0"/>
          <w:sz w:val="36"/>
          <w:szCs w:val="36"/>
          <w:shd w:val="clear" w:color="auto" w:fill="FFFFFF"/>
          <w:lang w:eastAsia="zh-CN"/>
          <w14:textFill>
            <w14:solidFill>
              <w14:schemeClr w14:val="tx2"/>
            </w14:solidFill>
          </w14:textFill>
        </w:rPr>
        <w:t>武夷学院</w:t>
      </w:r>
      <w:r>
        <w:rPr>
          <w:rFonts w:hint="eastAsia" w:ascii="仿宋_GB2312" w:eastAsia="仿宋_GB2312" w:cs="仿宋_GB2312"/>
          <w:b/>
          <w:bCs/>
          <w:color w:val="1F497D" w:themeColor="text2"/>
          <w:kern w:val="0"/>
          <w:sz w:val="36"/>
          <w:szCs w:val="36"/>
          <w:shd w:val="clear" w:color="auto" w:fill="FFFFFF"/>
          <w14:textFill>
            <w14:solidFill>
              <w14:schemeClr w14:val="tx2"/>
            </w14:solidFill>
          </w14:textFill>
        </w:rPr>
        <w:t>国家公园建设与管理微专业招生简章</w:t>
      </w:r>
    </w:p>
    <w:p>
      <w:pPr>
        <w:pStyle w:val="4"/>
        <w:widowControl/>
        <w:spacing w:beforeAutospacing="0" w:afterAutospacing="0" w:line="239" w:lineRule="atLeast"/>
        <w:ind w:firstLine="643" w:firstLineChars="200"/>
        <w:jc w:val="both"/>
        <w:rPr>
          <w:rFonts w:ascii="仿宋_GB2312" w:eastAsia="仿宋_GB2312" w:cs="仿宋_GB2312"/>
          <w:b/>
          <w:bCs/>
          <w:color w:val="1D1B1C"/>
          <w:sz w:val="32"/>
          <w:szCs w:val="32"/>
        </w:rPr>
      </w:pPr>
      <w:r>
        <w:rPr>
          <w:rFonts w:hint="eastAsia" w:ascii="仿宋_GB2312" w:eastAsia="仿宋_GB2312" w:cs="仿宋_GB2312"/>
          <w:b/>
          <w:bCs/>
          <w:color w:val="1D1B1C"/>
          <w:sz w:val="32"/>
          <w:szCs w:val="32"/>
          <w:shd w:val="clear" w:color="auto" w:fill="FFFFFF"/>
        </w:rPr>
        <w:t>一、专业简介</w:t>
      </w:r>
    </w:p>
    <w:p>
      <w:pPr>
        <w:pStyle w:val="4"/>
        <w:widowControl/>
        <w:spacing w:beforeAutospacing="0" w:afterAutospacing="0" w:line="239" w:lineRule="atLeast"/>
        <w:ind w:firstLine="560" w:firstLineChars="200"/>
        <w:jc w:val="both"/>
        <w:rPr>
          <w:rFonts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2</w:t>
      </w:r>
      <w:r>
        <w:rPr>
          <w:rFonts w:ascii="仿宋_GB2312" w:eastAsia="仿宋_GB2312" w:cs="仿宋_GB2312"/>
          <w:color w:val="1D1B1C"/>
          <w:sz w:val="28"/>
          <w:szCs w:val="28"/>
          <w:shd w:val="clear" w:color="auto" w:fill="FFFFFF"/>
        </w:rPr>
        <w:t>017</w:t>
      </w:r>
      <w:r>
        <w:rPr>
          <w:rFonts w:hint="eastAsia" w:ascii="仿宋_GB2312" w:eastAsia="仿宋_GB2312" w:cs="仿宋_GB2312"/>
          <w:color w:val="1D1B1C"/>
          <w:sz w:val="28"/>
          <w:szCs w:val="28"/>
          <w:shd w:val="clear" w:color="auto" w:fill="FFFFFF"/>
        </w:rPr>
        <w:t>年以来，我国国家公园体制建立、保护、建设与管理工作受到党和国家的高度重视，2021年10月，我国正式设立三江源、大熊猫、东北虎豹、海南热带雨林、武夷山首批5个国家公园。武夷山国家公园是唯一一个世界文化与自然双遗产地国家公园，是人与自然和谐共生的典范。高质量推进国家公园建设，关键在人才，但我国国家公园建设人才面临结构性短缺、供给能力不足。为推进专业人才培养，2</w:t>
      </w:r>
      <w:r>
        <w:rPr>
          <w:rFonts w:ascii="仿宋_GB2312" w:eastAsia="仿宋_GB2312" w:cs="仿宋_GB2312"/>
          <w:color w:val="1D1B1C"/>
          <w:sz w:val="28"/>
          <w:szCs w:val="28"/>
          <w:shd w:val="clear" w:color="auto" w:fill="FFFFFF"/>
        </w:rPr>
        <w:t>023</w:t>
      </w:r>
      <w:r>
        <w:rPr>
          <w:rFonts w:hint="eastAsia" w:ascii="仿宋_GB2312" w:eastAsia="仿宋_GB2312" w:cs="仿宋_GB2312"/>
          <w:color w:val="1D1B1C"/>
          <w:sz w:val="28"/>
          <w:szCs w:val="28"/>
          <w:shd w:val="clear" w:color="auto" w:fill="FFFFFF"/>
        </w:rPr>
        <w:t>年5月，北京林业大学兴办全国范围内首个国家公园建设与管理本科专业。武夷学院该微专业的开设将是国家公园建设与管理专业在国家公园所在地高校开展人才培养工作的首次尝试。</w:t>
      </w:r>
    </w:p>
    <w:p>
      <w:pPr>
        <w:pStyle w:val="4"/>
        <w:widowControl/>
        <w:spacing w:beforeAutospacing="0" w:afterAutospacing="0" w:line="239" w:lineRule="atLeast"/>
        <w:ind w:firstLine="560" w:firstLineChars="200"/>
        <w:jc w:val="both"/>
        <w:rPr>
          <w:rFonts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国家公园建设与管理微专业是将环境生态工程学、管理学、经济学、旅游学相关基础知识相融合，围绕当前国家公园保护、建设与管理的重大课题，着重培养学生可持续发展理念、显著锤炼学生解决国家生态文明建设热点问题的崭新人才培养方向。微</w:t>
      </w:r>
      <w:r>
        <w:rPr>
          <w:rFonts w:ascii="仿宋_GB2312" w:eastAsia="仿宋_GB2312" w:cs="仿宋_GB2312"/>
          <w:color w:val="1D1B1C"/>
          <w:sz w:val="28"/>
          <w:szCs w:val="28"/>
          <w:shd w:val="clear" w:color="auto" w:fill="FFFFFF"/>
        </w:rPr>
        <w:t>专业计划共开设7门课程，其中</w:t>
      </w:r>
      <w:r>
        <w:rPr>
          <w:rFonts w:hint="eastAsia" w:ascii="仿宋_GB2312" w:eastAsia="仿宋_GB2312" w:cs="仿宋_GB2312"/>
          <w:color w:val="1D1B1C"/>
          <w:sz w:val="28"/>
          <w:szCs w:val="28"/>
          <w:shd w:val="clear" w:color="auto" w:fill="FFFFFF"/>
        </w:rPr>
        <w:t>环境生态类</w:t>
      </w:r>
      <w:r>
        <w:rPr>
          <w:rFonts w:ascii="仿宋_GB2312" w:eastAsia="仿宋_GB2312" w:cs="仿宋_GB2312"/>
          <w:color w:val="1D1B1C"/>
          <w:sz w:val="28"/>
          <w:szCs w:val="28"/>
          <w:shd w:val="clear" w:color="auto" w:fill="FFFFFF"/>
        </w:rPr>
        <w:t>3门</w:t>
      </w:r>
      <w:r>
        <w:rPr>
          <w:rFonts w:hint="eastAsia" w:ascii="仿宋_GB2312" w:eastAsia="仿宋_GB2312" w:cs="仿宋_GB2312"/>
          <w:color w:val="1D1B1C"/>
          <w:sz w:val="28"/>
          <w:szCs w:val="28"/>
          <w:shd w:val="clear" w:color="auto" w:fill="FFFFFF"/>
        </w:rPr>
        <w:t>课程，经济管理类</w:t>
      </w:r>
      <w:r>
        <w:rPr>
          <w:rFonts w:ascii="仿宋_GB2312" w:eastAsia="仿宋_GB2312" w:cs="仿宋_GB2312"/>
          <w:color w:val="1D1B1C"/>
          <w:sz w:val="28"/>
          <w:szCs w:val="28"/>
          <w:shd w:val="clear" w:color="auto" w:fill="FFFFFF"/>
        </w:rPr>
        <w:t>3门</w:t>
      </w:r>
      <w:r>
        <w:rPr>
          <w:rFonts w:hint="eastAsia" w:ascii="仿宋_GB2312" w:eastAsia="仿宋_GB2312" w:cs="仿宋_GB2312"/>
          <w:color w:val="1D1B1C"/>
          <w:sz w:val="28"/>
          <w:szCs w:val="28"/>
          <w:shd w:val="clear" w:color="auto" w:fill="FFFFFF"/>
        </w:rPr>
        <w:t>课程</w:t>
      </w:r>
      <w:r>
        <w:rPr>
          <w:rFonts w:ascii="仿宋_GB2312" w:eastAsia="仿宋_GB2312" w:cs="仿宋_GB2312"/>
          <w:color w:val="1D1B1C"/>
          <w:sz w:val="28"/>
          <w:szCs w:val="28"/>
          <w:shd w:val="clear" w:color="auto" w:fill="FFFFFF"/>
        </w:rPr>
        <w:t>，</w:t>
      </w:r>
      <w:r>
        <w:rPr>
          <w:rFonts w:hint="eastAsia" w:ascii="仿宋_GB2312" w:eastAsia="仿宋_GB2312" w:cs="仿宋_GB2312"/>
          <w:color w:val="1D1B1C"/>
          <w:sz w:val="28"/>
          <w:szCs w:val="28"/>
          <w:shd w:val="clear" w:color="auto" w:fill="FFFFFF"/>
        </w:rPr>
        <w:t>旅游类1门课程。</w:t>
      </w:r>
      <w:r>
        <w:rPr>
          <w:rFonts w:ascii="仿宋_GB2312" w:eastAsia="仿宋_GB2312" w:cs="仿宋_GB2312"/>
          <w:color w:val="1D1B1C"/>
          <w:sz w:val="28"/>
          <w:szCs w:val="28"/>
          <w:shd w:val="clear" w:color="auto" w:fill="FFFFFF"/>
        </w:rPr>
        <w:t>7</w:t>
      </w:r>
      <w:r>
        <w:rPr>
          <w:rFonts w:hint="eastAsia" w:ascii="仿宋_GB2312" w:eastAsia="仿宋_GB2312" w:cs="仿宋_GB2312"/>
          <w:color w:val="1D1B1C"/>
          <w:sz w:val="28"/>
          <w:szCs w:val="28"/>
          <w:shd w:val="clear" w:color="auto" w:fill="FFFFFF"/>
        </w:rPr>
        <w:t>门课程均采用“讲授+野外实践”教学形式</w:t>
      </w:r>
      <w:r>
        <w:rPr>
          <w:rFonts w:ascii="仿宋_GB2312" w:eastAsia="仿宋_GB2312" w:cs="仿宋_GB2312"/>
          <w:color w:val="1D1B1C"/>
          <w:sz w:val="28"/>
          <w:szCs w:val="28"/>
          <w:shd w:val="clear" w:color="auto" w:fill="FFFFFF"/>
        </w:rPr>
        <w:t>，</w:t>
      </w:r>
      <w:r>
        <w:rPr>
          <w:rFonts w:hint="eastAsia" w:ascii="仿宋_GB2312" w:eastAsia="仿宋_GB2312" w:cs="仿宋_GB2312"/>
          <w:color w:val="1D1B1C"/>
          <w:sz w:val="28"/>
          <w:szCs w:val="28"/>
          <w:shd w:val="clear" w:color="auto" w:fill="FFFFFF"/>
        </w:rPr>
        <w:t>野外实践主要围绕武夷山国家公园实地展开，并涉及环武夷山国家公园发展带的崇阳溪、生态茶园、生态农业田园综合体、古村落等多个实践基地，</w:t>
      </w:r>
      <w:r>
        <w:rPr>
          <w:rFonts w:ascii="仿宋_GB2312" w:eastAsia="仿宋_GB2312" w:cs="仿宋_GB2312"/>
          <w:color w:val="1D1B1C"/>
          <w:sz w:val="28"/>
          <w:szCs w:val="28"/>
          <w:shd w:val="clear" w:color="auto" w:fill="FFFFFF"/>
        </w:rPr>
        <w:t>突出培养学生</w:t>
      </w:r>
      <w:r>
        <w:rPr>
          <w:rFonts w:hint="eastAsia" w:ascii="仿宋_GB2312" w:eastAsia="仿宋_GB2312" w:cs="仿宋_GB2312"/>
          <w:color w:val="1D1B1C"/>
          <w:sz w:val="28"/>
          <w:szCs w:val="28"/>
          <w:shd w:val="clear" w:color="auto" w:fill="FFFFFF"/>
        </w:rPr>
        <w:t>导向思维和专业技能</w:t>
      </w:r>
      <w:r>
        <w:rPr>
          <w:rFonts w:ascii="仿宋_GB2312" w:eastAsia="仿宋_GB2312" w:cs="仿宋_GB2312"/>
          <w:color w:val="1D1B1C"/>
          <w:sz w:val="28"/>
          <w:szCs w:val="28"/>
          <w:shd w:val="clear" w:color="auto" w:fill="FFFFFF"/>
        </w:rPr>
        <w:t>，为</w:t>
      </w:r>
      <w:r>
        <w:rPr>
          <w:rFonts w:hint="eastAsia" w:ascii="仿宋_GB2312" w:eastAsia="仿宋_GB2312" w:cs="仿宋_GB2312"/>
          <w:color w:val="1D1B1C"/>
          <w:sz w:val="28"/>
          <w:szCs w:val="28"/>
          <w:shd w:val="clear" w:color="auto" w:fill="FFFFFF"/>
        </w:rPr>
        <w:t>有志从事生态环境领域工作</w:t>
      </w:r>
      <w:r>
        <w:rPr>
          <w:rFonts w:ascii="仿宋_GB2312" w:eastAsia="仿宋_GB2312" w:cs="仿宋_GB2312"/>
          <w:color w:val="1D1B1C"/>
          <w:sz w:val="28"/>
          <w:szCs w:val="28"/>
          <w:shd w:val="clear" w:color="auto" w:fill="FFFFFF"/>
        </w:rPr>
        <w:t>学生充分就业提供强有力支撑。</w:t>
      </w:r>
    </w:p>
    <w:p>
      <w:pPr>
        <w:pStyle w:val="4"/>
        <w:widowControl/>
        <w:spacing w:beforeAutospacing="0" w:afterAutospacing="0" w:line="239" w:lineRule="atLeast"/>
        <w:ind w:firstLine="643" w:firstLineChars="200"/>
        <w:jc w:val="both"/>
        <w:rPr>
          <w:rFonts w:ascii="仿宋_GB2312" w:eastAsia="仿宋_GB2312" w:cs="仿宋_GB2312"/>
          <w:b/>
          <w:bCs/>
          <w:color w:val="1D1B1C"/>
          <w:sz w:val="32"/>
          <w:szCs w:val="32"/>
        </w:rPr>
      </w:pPr>
      <w:r>
        <w:rPr>
          <w:rFonts w:hint="eastAsia" w:ascii="仿宋_GB2312" w:eastAsia="仿宋_GB2312" w:cs="仿宋_GB2312"/>
          <w:b/>
          <w:bCs/>
          <w:color w:val="1D1B1C"/>
          <w:sz w:val="32"/>
          <w:szCs w:val="32"/>
          <w:shd w:val="clear" w:color="auto" w:fill="FFFFFF"/>
        </w:rPr>
        <w:t>二、培养目标</w:t>
      </w:r>
    </w:p>
    <w:p>
      <w:pPr>
        <w:pStyle w:val="4"/>
        <w:widowControl/>
        <w:spacing w:beforeAutospacing="0" w:afterAutospacing="0" w:line="239" w:lineRule="atLeast"/>
        <w:ind w:firstLine="560" w:firstLineChars="200"/>
        <w:jc w:val="both"/>
        <w:rPr>
          <w:rFonts w:hint="eastAsia"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国家公园建设与管理微专业是立足绿色南平，面向生态福建，聚焦我国国家公园等自然保护地建设重大人才需求，培养具有家国情怀、人文素养、国际视野与扎实专业技能，了解国家公园相关规划政策，熟悉国家公园保护、建设与管理框架，掌握野生动植物调查、生态系统多样性保护、环境质量健康监测、碳汇计算、生态产品价值核算等多项技能，认同人与自然和谐共生理念，能够在国家公园等自然保护地相关领域从事规划管理、生态保护与修复、监测评价、科学普及、学术研究、涉环境生态类项目咨询以及人地关系处理等工作的应用型人才。</w:t>
      </w:r>
    </w:p>
    <w:p>
      <w:pPr>
        <w:pStyle w:val="4"/>
        <w:widowControl/>
        <w:spacing w:beforeAutospacing="0" w:afterAutospacing="0" w:line="239" w:lineRule="atLeast"/>
        <w:ind w:firstLine="645"/>
        <w:jc w:val="both"/>
        <w:rPr>
          <w:rFonts w:ascii="仿宋_GB2312" w:eastAsia="仿宋_GB2312" w:cs="仿宋_GB2312"/>
          <w:b/>
          <w:bCs/>
          <w:color w:val="1D1B1C"/>
          <w:sz w:val="32"/>
          <w:szCs w:val="32"/>
        </w:rPr>
      </w:pPr>
      <w:r>
        <w:rPr>
          <w:rFonts w:hint="eastAsia" w:ascii="仿宋_GB2312" w:eastAsia="仿宋_GB2312" w:cs="仿宋_GB2312"/>
          <w:b/>
          <w:bCs/>
          <w:color w:val="1D1B1C"/>
          <w:sz w:val="32"/>
          <w:szCs w:val="32"/>
          <w:shd w:val="clear" w:color="auto" w:fill="FFFFFF"/>
        </w:rPr>
        <w:t>三、招生对象及计划</w:t>
      </w:r>
    </w:p>
    <w:p>
      <w:pPr>
        <w:pStyle w:val="4"/>
        <w:widowControl/>
        <w:spacing w:beforeAutospacing="0" w:afterAutospacing="0" w:line="239" w:lineRule="atLeast"/>
        <w:ind w:firstLine="480"/>
        <w:jc w:val="both"/>
        <w:rPr>
          <w:rFonts w:ascii="仿宋_GB2312" w:eastAsia="仿宋_GB2312" w:cs="仿宋_GB2312"/>
          <w:color w:val="1D1B1C"/>
          <w:sz w:val="28"/>
          <w:szCs w:val="28"/>
        </w:rPr>
      </w:pPr>
      <w:r>
        <w:rPr>
          <w:rFonts w:hint="eastAsia" w:ascii="仿宋_GB2312" w:eastAsia="仿宋_GB2312" w:cs="仿宋_GB2312"/>
          <w:color w:val="1D1B1C"/>
          <w:sz w:val="28"/>
          <w:szCs w:val="28"/>
          <w:shd w:val="clear" w:color="auto" w:fill="FFFFFF"/>
        </w:rPr>
        <w:t>招生对象：2021级、2022级全日制本科主修专业学有余力，符合开设微专业修读要求的在校学生。</w:t>
      </w:r>
    </w:p>
    <w:p>
      <w:pPr>
        <w:pStyle w:val="4"/>
        <w:widowControl/>
        <w:spacing w:beforeAutospacing="0" w:afterAutospacing="0" w:line="239" w:lineRule="atLeast"/>
        <w:ind w:firstLine="480"/>
        <w:jc w:val="both"/>
        <w:rPr>
          <w:rFonts w:ascii="仿宋_GB2312" w:eastAsia="仿宋_GB2312" w:cs="仿宋_GB2312"/>
          <w:color w:val="1D1B1C"/>
          <w:sz w:val="28"/>
          <w:szCs w:val="28"/>
        </w:rPr>
      </w:pPr>
      <w:r>
        <w:rPr>
          <w:rFonts w:hint="eastAsia" w:ascii="仿宋_GB2312" w:eastAsia="仿宋_GB2312" w:cs="仿宋_GB2312"/>
          <w:color w:val="1D1B1C"/>
          <w:sz w:val="28"/>
          <w:szCs w:val="28"/>
          <w:shd w:val="clear" w:color="auto" w:fill="FFFFFF"/>
        </w:rPr>
        <w:t>招生计划：</w:t>
      </w:r>
      <w:r>
        <w:rPr>
          <w:rFonts w:ascii="仿宋_GB2312" w:eastAsia="仿宋_GB2312" w:cs="仿宋_GB2312"/>
          <w:color w:val="1D1B1C"/>
          <w:sz w:val="28"/>
          <w:szCs w:val="28"/>
          <w:shd w:val="clear" w:color="auto" w:fill="FFFFFF"/>
        </w:rPr>
        <w:t>20</w:t>
      </w:r>
      <w:r>
        <w:rPr>
          <w:rFonts w:hint="eastAsia" w:ascii="仿宋_GB2312" w:eastAsia="仿宋_GB2312" w:cs="仿宋_GB2312"/>
          <w:color w:val="1D1B1C"/>
          <w:sz w:val="28"/>
          <w:szCs w:val="28"/>
          <w:shd w:val="clear" w:color="auto" w:fill="FFFFFF"/>
        </w:rPr>
        <w:t>人。</w:t>
      </w:r>
    </w:p>
    <w:p>
      <w:pPr>
        <w:pStyle w:val="4"/>
        <w:widowControl/>
        <w:spacing w:beforeAutospacing="0" w:afterAutospacing="0" w:line="239" w:lineRule="atLeast"/>
        <w:ind w:firstLine="645"/>
        <w:jc w:val="both"/>
        <w:rPr>
          <w:rFonts w:ascii="仿宋_GB2312" w:eastAsia="仿宋_GB2312" w:cs="仿宋_GB2312"/>
          <w:b/>
          <w:bCs/>
          <w:color w:val="1D1B1C"/>
          <w:sz w:val="32"/>
          <w:szCs w:val="32"/>
        </w:rPr>
      </w:pPr>
      <w:r>
        <w:rPr>
          <w:rFonts w:hint="eastAsia" w:ascii="仿宋_GB2312" w:eastAsia="仿宋_GB2312" w:cs="仿宋_GB2312"/>
          <w:b/>
          <w:bCs/>
          <w:color w:val="1D1B1C"/>
          <w:sz w:val="32"/>
          <w:szCs w:val="32"/>
          <w:shd w:val="clear" w:color="auto" w:fill="FFFFFF"/>
        </w:rPr>
        <w:t>四、修读学分及证书发放</w:t>
      </w:r>
    </w:p>
    <w:p>
      <w:pPr>
        <w:pStyle w:val="4"/>
        <w:widowControl/>
        <w:spacing w:beforeAutospacing="0" w:afterAutospacing="0" w:line="239" w:lineRule="atLeast"/>
        <w:ind w:firstLine="560" w:firstLineChars="200"/>
        <w:jc w:val="both"/>
        <w:rPr>
          <w:rFonts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学生在毕业前，修完各微专业规定课程，达到“微专业”结业要求的，由学校制作并发放武夷学院“国家公园建设与管理微专业”结业证明书。</w:t>
      </w:r>
    </w:p>
    <w:p>
      <w:pPr>
        <w:pStyle w:val="4"/>
        <w:widowControl/>
        <w:numPr>
          <w:ilvl w:val="0"/>
          <w:numId w:val="1"/>
        </w:numPr>
        <w:spacing w:beforeAutospacing="0" w:afterAutospacing="0" w:line="239" w:lineRule="atLeast"/>
        <w:ind w:firstLine="645"/>
        <w:jc w:val="both"/>
        <w:rPr>
          <w:rFonts w:ascii="仿宋_GB2312" w:eastAsia="仿宋_GB2312" w:cs="仿宋_GB2312"/>
          <w:b/>
          <w:bCs/>
          <w:color w:val="1D1B1C"/>
          <w:sz w:val="32"/>
          <w:szCs w:val="32"/>
          <w:shd w:val="clear" w:color="auto" w:fill="FFFFFF"/>
        </w:rPr>
      </w:pPr>
      <w:r>
        <w:rPr>
          <w:rFonts w:hint="eastAsia" w:ascii="仿宋_GB2312" w:eastAsia="仿宋_GB2312" w:cs="仿宋_GB2312"/>
          <w:b/>
          <w:bCs/>
          <w:color w:val="1D1B1C"/>
          <w:sz w:val="32"/>
          <w:szCs w:val="32"/>
          <w:shd w:val="clear" w:color="auto" w:fill="FFFFFF"/>
        </w:rPr>
        <w:t>课程设置与教学安排</w:t>
      </w:r>
    </w:p>
    <w:p>
      <w:pPr>
        <w:pStyle w:val="4"/>
        <w:widowControl/>
        <w:spacing w:beforeAutospacing="0" w:afterAutospacing="0" w:line="239" w:lineRule="atLeast"/>
        <w:ind w:firstLine="480"/>
        <w:jc w:val="both"/>
        <w:rPr>
          <w:rFonts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单独编班，教学活动安排在第</w:t>
      </w:r>
      <w:r>
        <w:rPr>
          <w:rFonts w:ascii="仿宋_GB2312" w:eastAsia="仿宋_GB2312" w:cs="仿宋_GB2312"/>
          <w:color w:val="1D1B1C"/>
          <w:sz w:val="28"/>
          <w:szCs w:val="28"/>
          <w:shd w:val="clear" w:color="auto" w:fill="FFFFFF"/>
        </w:rPr>
        <w:t>3</w:t>
      </w:r>
      <w:r>
        <w:rPr>
          <w:rFonts w:hint="eastAsia" w:ascii="仿宋_GB2312" w:eastAsia="仿宋_GB2312" w:cs="仿宋_GB2312"/>
          <w:color w:val="1D1B1C"/>
          <w:sz w:val="28"/>
          <w:szCs w:val="28"/>
          <w:shd w:val="clear" w:color="auto" w:fill="FFFFFF"/>
        </w:rPr>
        <w:t>至</w:t>
      </w:r>
      <w:r>
        <w:rPr>
          <w:rFonts w:ascii="仿宋_GB2312" w:eastAsia="仿宋_GB2312" w:cs="仿宋_GB2312"/>
          <w:color w:val="1D1B1C"/>
          <w:sz w:val="28"/>
          <w:szCs w:val="28"/>
          <w:shd w:val="clear" w:color="auto" w:fill="FFFFFF"/>
        </w:rPr>
        <w:t>5</w:t>
      </w:r>
      <w:r>
        <w:rPr>
          <w:rFonts w:hint="eastAsia" w:ascii="仿宋_GB2312" w:eastAsia="仿宋_GB2312" w:cs="仿宋_GB2312"/>
          <w:color w:val="1D1B1C"/>
          <w:sz w:val="28"/>
          <w:szCs w:val="28"/>
          <w:shd w:val="clear" w:color="auto" w:fill="FFFFFF"/>
        </w:rPr>
        <w:t>学期。理论课程主要安排在晚自习、周六、周日或寒暑假</w:t>
      </w:r>
      <w:r>
        <w:rPr>
          <w:rFonts w:ascii="仿宋_GB2312" w:eastAsia="仿宋_GB2312" w:cs="仿宋_GB2312"/>
          <w:color w:val="1D1B1C"/>
          <w:sz w:val="28"/>
          <w:szCs w:val="28"/>
          <w:shd w:val="clear" w:color="auto" w:fill="FFFFFF"/>
        </w:rPr>
        <w:t>期间</w:t>
      </w:r>
      <w:r>
        <w:rPr>
          <w:rFonts w:hint="eastAsia" w:ascii="仿宋_GB2312" w:eastAsia="仿宋_GB2312" w:cs="仿宋_GB2312"/>
          <w:color w:val="1D1B1C"/>
          <w:sz w:val="28"/>
          <w:szCs w:val="28"/>
          <w:shd w:val="clear" w:color="auto" w:fill="FFFFFF"/>
        </w:rPr>
        <w:t>开展，实践课程主要安排在周六、周日或寒暑假</w:t>
      </w:r>
      <w:r>
        <w:rPr>
          <w:rFonts w:ascii="仿宋_GB2312" w:eastAsia="仿宋_GB2312" w:cs="仿宋_GB2312"/>
          <w:color w:val="1D1B1C"/>
          <w:sz w:val="28"/>
          <w:szCs w:val="28"/>
          <w:shd w:val="clear" w:color="auto" w:fill="FFFFFF"/>
        </w:rPr>
        <w:t>期间</w:t>
      </w:r>
      <w:r>
        <w:rPr>
          <w:rFonts w:hint="eastAsia" w:ascii="仿宋_GB2312" w:eastAsia="仿宋_GB2312" w:cs="仿宋_GB2312"/>
          <w:color w:val="1D1B1C"/>
          <w:sz w:val="28"/>
          <w:szCs w:val="28"/>
          <w:shd w:val="clear" w:color="auto" w:fill="FFFFFF"/>
        </w:rPr>
        <w:t>开展。具体安排如下：</w:t>
      </w:r>
    </w:p>
    <w:tbl>
      <w:tblPr>
        <w:tblStyle w:val="5"/>
        <w:tblW w:w="8036" w:type="dxa"/>
        <w:jc w:val="center"/>
        <w:tblLayout w:type="autofit"/>
        <w:tblCellMar>
          <w:top w:w="15" w:type="dxa"/>
          <w:left w:w="15" w:type="dxa"/>
          <w:bottom w:w="15" w:type="dxa"/>
          <w:right w:w="15" w:type="dxa"/>
        </w:tblCellMar>
      </w:tblPr>
      <w:tblGrid>
        <w:gridCol w:w="865"/>
        <w:gridCol w:w="2266"/>
        <w:gridCol w:w="538"/>
        <w:gridCol w:w="854"/>
        <w:gridCol w:w="567"/>
        <w:gridCol w:w="538"/>
        <w:gridCol w:w="484"/>
        <w:gridCol w:w="1408"/>
        <w:gridCol w:w="516"/>
      </w:tblGrid>
      <w:tr>
        <w:tblPrEx>
          <w:tblCellMar>
            <w:top w:w="15" w:type="dxa"/>
            <w:left w:w="15" w:type="dxa"/>
            <w:bottom w:w="15" w:type="dxa"/>
            <w:right w:w="15" w:type="dxa"/>
          </w:tblCellMar>
        </w:tblPrEx>
        <w:trPr>
          <w:trHeight w:val="1020" w:hRule="atLeast"/>
          <w:jc w:val="center"/>
        </w:trPr>
        <w:tc>
          <w:tcPr>
            <w:tcW w:w="865" w:type="dxa"/>
            <w:tcBorders>
              <w:top w:val="single" w:color="auto" w:sz="12" w:space="0"/>
              <w:left w:val="single" w:color="auto" w:sz="12" w:space="0"/>
              <w:bottom w:val="single" w:color="auto" w:sz="6" w:space="0"/>
              <w:right w:val="single" w:color="auto" w:sz="6" w:space="0"/>
            </w:tcBorders>
            <w:shd w:val="clear" w:color="auto" w:fill="auto"/>
            <w:noWrap/>
            <w:tcMar>
              <w:top w:w="0" w:type="dxa"/>
              <w:bottom w:w="0"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Style w:val="7"/>
                <w:rFonts w:hint="eastAsia" w:ascii="仿宋_GB2312" w:eastAsia="仿宋_GB2312" w:cs="仿宋_GB2312"/>
                <w:color w:val="1D1B1C"/>
              </w:rPr>
              <w:t>课程编码</w:t>
            </w:r>
          </w:p>
        </w:tc>
        <w:tc>
          <w:tcPr>
            <w:tcW w:w="2266" w:type="dxa"/>
            <w:tcBorders>
              <w:top w:val="single" w:color="auto" w:sz="12" w:space="0"/>
              <w:left w:val="single" w:color="auto" w:sz="6" w:space="0"/>
              <w:bottom w:val="single" w:color="auto" w:sz="6" w:space="0"/>
              <w:right w:val="single" w:color="auto" w:sz="6" w:space="0"/>
            </w:tcBorders>
            <w:shd w:val="clear" w:color="auto" w:fill="auto"/>
            <w:noWrap/>
            <w:tcMar>
              <w:top w:w="0" w:type="dxa"/>
              <w:bottom w:w="0"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Style w:val="7"/>
                <w:rFonts w:hint="eastAsia" w:ascii="仿宋_GB2312" w:eastAsia="仿宋_GB2312" w:cs="仿宋_GB2312"/>
                <w:color w:val="1D1B1C"/>
              </w:rPr>
              <w:t>课  程  名  称</w:t>
            </w:r>
          </w:p>
        </w:tc>
        <w:tc>
          <w:tcPr>
            <w:tcW w:w="538" w:type="dxa"/>
            <w:tcBorders>
              <w:top w:val="single" w:color="auto" w:sz="12" w:space="0"/>
              <w:left w:val="single" w:color="auto" w:sz="6" w:space="0"/>
              <w:bottom w:val="single" w:color="auto" w:sz="6" w:space="0"/>
              <w:right w:val="single" w:color="auto" w:sz="6" w:space="0"/>
            </w:tcBorders>
            <w:shd w:val="clear" w:color="auto" w:fill="auto"/>
            <w:noWrap/>
            <w:tcMar>
              <w:top w:w="0" w:type="dxa"/>
              <w:bottom w:w="0"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Style w:val="7"/>
                <w:rFonts w:hint="eastAsia" w:ascii="仿宋_GB2312" w:eastAsia="仿宋_GB2312" w:cs="仿宋_GB2312"/>
                <w:color w:val="1D1B1C"/>
              </w:rPr>
              <w:t>学分</w:t>
            </w:r>
          </w:p>
        </w:tc>
        <w:tc>
          <w:tcPr>
            <w:tcW w:w="854" w:type="dxa"/>
            <w:tcBorders>
              <w:top w:val="single" w:color="auto" w:sz="12" w:space="0"/>
              <w:left w:val="single" w:color="auto" w:sz="6" w:space="0"/>
              <w:bottom w:val="single" w:color="auto" w:sz="6" w:space="0"/>
              <w:right w:val="single" w:color="auto" w:sz="6" w:space="0"/>
            </w:tcBorders>
            <w:shd w:val="clear" w:color="auto" w:fill="auto"/>
            <w:noWrap/>
            <w:tcMar>
              <w:top w:w="0" w:type="dxa"/>
              <w:bottom w:w="0"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Style w:val="7"/>
                <w:rFonts w:hint="eastAsia" w:ascii="仿宋_GB2312" w:eastAsia="仿宋_GB2312" w:cs="仿宋_GB2312"/>
                <w:color w:val="1D1B1C"/>
              </w:rPr>
              <w:t>总学时</w:t>
            </w:r>
          </w:p>
        </w:tc>
        <w:tc>
          <w:tcPr>
            <w:tcW w:w="567" w:type="dxa"/>
            <w:tcBorders>
              <w:top w:val="single" w:color="auto" w:sz="12"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Style w:val="7"/>
                <w:rFonts w:hint="eastAsia" w:ascii="仿宋_GB2312" w:eastAsia="仿宋_GB2312" w:cs="仿宋_GB2312"/>
                <w:color w:val="1D1B1C"/>
              </w:rPr>
              <w:t>理论学时</w:t>
            </w:r>
          </w:p>
        </w:tc>
        <w:tc>
          <w:tcPr>
            <w:tcW w:w="538" w:type="dxa"/>
            <w:tcBorders>
              <w:top w:val="single" w:color="auto" w:sz="12"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Style w:val="7"/>
                <w:rFonts w:hint="eastAsia" w:ascii="仿宋_GB2312" w:eastAsia="仿宋_GB2312" w:cs="仿宋_GB2312"/>
                <w:color w:val="1D1B1C"/>
              </w:rPr>
              <w:t>实验学时</w:t>
            </w:r>
          </w:p>
        </w:tc>
        <w:tc>
          <w:tcPr>
            <w:tcW w:w="484" w:type="dxa"/>
            <w:tcBorders>
              <w:top w:val="single" w:color="auto" w:sz="12"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Style w:val="7"/>
                <w:rFonts w:hint="eastAsia" w:ascii="仿宋_GB2312" w:eastAsia="仿宋_GB2312" w:cs="仿宋_GB2312"/>
                <w:color w:val="1D1B1C"/>
              </w:rPr>
              <w:t>实践学时</w:t>
            </w:r>
          </w:p>
        </w:tc>
        <w:tc>
          <w:tcPr>
            <w:tcW w:w="1408" w:type="dxa"/>
            <w:tcBorders>
              <w:top w:val="single" w:color="auto" w:sz="12"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Style w:val="7"/>
                <w:rFonts w:hint="eastAsia" w:ascii="仿宋_GB2312" w:eastAsia="仿宋_GB2312" w:cs="仿宋_GB2312"/>
                <w:color w:val="1D1B1C"/>
              </w:rPr>
              <w:t>考核方式</w:t>
            </w:r>
          </w:p>
        </w:tc>
        <w:tc>
          <w:tcPr>
            <w:tcW w:w="516" w:type="dxa"/>
            <w:tcBorders>
              <w:top w:val="single" w:color="auto" w:sz="12" w:space="0"/>
              <w:left w:val="single" w:color="auto" w:sz="6" w:space="0"/>
              <w:bottom w:val="single" w:color="auto" w:sz="6" w:space="0"/>
              <w:right w:val="single" w:color="auto" w:sz="12" w:space="0"/>
            </w:tcBorders>
            <w:shd w:val="clear" w:color="auto" w:fill="auto"/>
            <w:noWrap/>
            <w:tcMar>
              <w:top w:w="0" w:type="dxa"/>
              <w:bottom w:w="0"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Style w:val="7"/>
                <w:rFonts w:hint="eastAsia" w:ascii="仿宋_GB2312" w:eastAsia="仿宋_GB2312" w:cs="仿宋_GB2312"/>
                <w:color w:val="1D1B1C"/>
              </w:rPr>
              <w:t>上课学期</w:t>
            </w:r>
          </w:p>
        </w:tc>
      </w:tr>
      <w:tr>
        <w:tblPrEx>
          <w:tblCellMar>
            <w:top w:w="15" w:type="dxa"/>
            <w:left w:w="15" w:type="dxa"/>
            <w:bottom w:w="15" w:type="dxa"/>
            <w:right w:w="15" w:type="dxa"/>
          </w:tblCellMar>
        </w:tblPrEx>
        <w:trPr>
          <w:trHeight w:val="480" w:hRule="atLeast"/>
          <w:jc w:val="center"/>
        </w:trPr>
        <w:tc>
          <w:tcPr>
            <w:tcW w:w="865" w:type="dxa"/>
            <w:tcBorders>
              <w:top w:val="single" w:color="auto" w:sz="6" w:space="0"/>
              <w:left w:val="single" w:color="auto" w:sz="12" w:space="0"/>
              <w:bottom w:val="single" w:color="auto" w:sz="6" w:space="0"/>
              <w:right w:val="single" w:color="auto" w:sz="6" w:space="0"/>
            </w:tcBorders>
            <w:shd w:val="clear" w:color="auto" w:fill="auto"/>
            <w:noWrap/>
            <w:tcMar>
              <w:top w:w="0" w:type="dxa"/>
              <w:bottom w:w="0"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Fonts w:hint="eastAsia" w:ascii="仿宋_GB2312" w:eastAsia="仿宋_GB2312" w:cs="仿宋_GB2312"/>
                <w:color w:val="1D1B1C"/>
                <w:sz w:val="18"/>
                <w:szCs w:val="18"/>
              </w:rPr>
              <w:t>01</w:t>
            </w:r>
          </w:p>
        </w:tc>
        <w:tc>
          <w:tcPr>
            <w:tcW w:w="2266"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adjustRightInd w:val="0"/>
              <w:snapToGrid w:val="0"/>
              <w:rPr>
                <w:rFonts w:ascii="宋体"/>
                <w:sz w:val="20"/>
                <w:szCs w:val="20"/>
              </w:rPr>
            </w:pPr>
            <w:r>
              <w:rPr>
                <w:rFonts w:hint="eastAsia" w:ascii="宋体" w:cs="仿宋"/>
                <w:sz w:val="20"/>
                <w:szCs w:val="20"/>
              </w:rPr>
              <w:t>武夷山国家公园规划</w:t>
            </w:r>
          </w:p>
        </w:tc>
        <w:tc>
          <w:tcPr>
            <w:tcW w:w="538"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r>
              <w:rPr>
                <w:rFonts w:ascii="宋体"/>
                <w:kern w:val="0"/>
                <w:sz w:val="20"/>
                <w:szCs w:val="20"/>
              </w:rPr>
              <w:t>2</w:t>
            </w:r>
          </w:p>
        </w:tc>
        <w:tc>
          <w:tcPr>
            <w:tcW w:w="854"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r>
              <w:rPr>
                <w:rFonts w:hint="eastAsia" w:ascii="宋体"/>
                <w:kern w:val="0"/>
                <w:sz w:val="20"/>
                <w:szCs w:val="20"/>
              </w:rPr>
              <w:t>3</w:t>
            </w:r>
            <w:r>
              <w:rPr>
                <w:rFonts w:ascii="宋体"/>
                <w:kern w:val="0"/>
                <w:sz w:val="20"/>
                <w:szCs w:val="20"/>
              </w:rPr>
              <w:t>2</w:t>
            </w:r>
          </w:p>
        </w:tc>
        <w:tc>
          <w:tcPr>
            <w:tcW w:w="567"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spacing w:line="360" w:lineRule="auto"/>
              <w:rPr>
                <w:rFonts w:ascii="宋体"/>
                <w:kern w:val="0"/>
                <w:sz w:val="20"/>
                <w:szCs w:val="20"/>
              </w:rPr>
            </w:pPr>
            <w:r>
              <w:rPr>
                <w:rFonts w:hint="eastAsia" w:ascii="宋体"/>
                <w:kern w:val="0"/>
                <w:sz w:val="20"/>
                <w:szCs w:val="20"/>
              </w:rPr>
              <w:t>2</w:t>
            </w:r>
            <w:r>
              <w:rPr>
                <w:rFonts w:ascii="宋体"/>
                <w:kern w:val="0"/>
                <w:sz w:val="20"/>
                <w:szCs w:val="20"/>
              </w:rPr>
              <w:t>0</w:t>
            </w:r>
          </w:p>
        </w:tc>
        <w:tc>
          <w:tcPr>
            <w:tcW w:w="538"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p>
        </w:tc>
        <w:tc>
          <w:tcPr>
            <w:tcW w:w="484"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spacing w:line="360" w:lineRule="auto"/>
              <w:rPr>
                <w:rFonts w:ascii="宋体"/>
                <w:kern w:val="0"/>
                <w:sz w:val="20"/>
                <w:szCs w:val="20"/>
              </w:rPr>
            </w:pPr>
            <w:r>
              <w:rPr>
                <w:rFonts w:hint="eastAsia" w:ascii="宋体"/>
                <w:kern w:val="0"/>
                <w:sz w:val="20"/>
                <w:szCs w:val="20"/>
              </w:rPr>
              <w:t>1</w:t>
            </w:r>
            <w:r>
              <w:rPr>
                <w:rFonts w:ascii="宋体"/>
                <w:kern w:val="0"/>
                <w:sz w:val="20"/>
                <w:szCs w:val="20"/>
              </w:rPr>
              <w:t>2</w:t>
            </w:r>
          </w:p>
        </w:tc>
        <w:tc>
          <w:tcPr>
            <w:tcW w:w="1408"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Fonts w:hint="eastAsia" w:ascii="仿宋_GB2312" w:eastAsia="仿宋_GB2312" w:cs="仿宋_GB2312"/>
                <w:color w:val="1D1B1C"/>
                <w:sz w:val="21"/>
                <w:szCs w:val="21"/>
              </w:rPr>
              <w:t>多样化考核</w:t>
            </w:r>
          </w:p>
        </w:tc>
        <w:tc>
          <w:tcPr>
            <w:tcW w:w="516" w:type="dxa"/>
            <w:tcBorders>
              <w:top w:val="single" w:color="auto" w:sz="6" w:space="0"/>
              <w:left w:val="single" w:color="auto" w:sz="6" w:space="0"/>
              <w:bottom w:val="single" w:color="auto" w:sz="6" w:space="0"/>
              <w:right w:val="single" w:color="auto" w:sz="12" w:space="0"/>
            </w:tcBorders>
            <w:shd w:val="clear" w:color="auto" w:fill="auto"/>
            <w:noWrap/>
            <w:tcMar>
              <w:top w:w="0" w:type="dxa"/>
              <w:bottom w:w="0"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Fonts w:hint="eastAsia" w:ascii="仿宋_GB2312" w:eastAsia="仿宋_GB2312" w:cs="仿宋_GB2312"/>
                <w:color w:val="1D1B1C"/>
                <w:sz w:val="21"/>
                <w:szCs w:val="21"/>
              </w:rPr>
              <w:t>3</w:t>
            </w:r>
          </w:p>
        </w:tc>
      </w:tr>
      <w:tr>
        <w:tblPrEx>
          <w:tblCellMar>
            <w:top w:w="15" w:type="dxa"/>
            <w:left w:w="15" w:type="dxa"/>
            <w:bottom w:w="15" w:type="dxa"/>
            <w:right w:w="15" w:type="dxa"/>
          </w:tblCellMar>
        </w:tblPrEx>
        <w:trPr>
          <w:trHeight w:val="480" w:hRule="atLeast"/>
          <w:jc w:val="center"/>
        </w:trPr>
        <w:tc>
          <w:tcPr>
            <w:tcW w:w="865" w:type="dxa"/>
            <w:tcBorders>
              <w:top w:val="single" w:color="auto" w:sz="6" w:space="0"/>
              <w:left w:val="single" w:color="auto" w:sz="12" w:space="0"/>
              <w:bottom w:val="single" w:color="auto" w:sz="6" w:space="0"/>
              <w:right w:val="single" w:color="auto" w:sz="6" w:space="0"/>
            </w:tcBorders>
            <w:shd w:val="clear" w:color="auto" w:fill="auto"/>
            <w:noWrap/>
            <w:tcMar>
              <w:top w:w="0" w:type="dxa"/>
              <w:bottom w:w="0" w:type="dxa"/>
            </w:tcMar>
            <w:vAlign w:val="center"/>
          </w:tcPr>
          <w:p>
            <w:pPr>
              <w:pStyle w:val="4"/>
              <w:widowControl/>
              <w:spacing w:beforeAutospacing="0" w:afterAutospacing="0" w:line="210" w:lineRule="atLeast"/>
              <w:jc w:val="both"/>
              <w:rPr>
                <w:rFonts w:ascii="仿宋_GB2312" w:eastAsia="仿宋_GB2312" w:cs="仿宋_GB2312"/>
                <w:color w:val="1D1B1C"/>
                <w:sz w:val="18"/>
                <w:szCs w:val="18"/>
              </w:rPr>
            </w:pPr>
            <w:r>
              <w:rPr>
                <w:rFonts w:hint="eastAsia" w:ascii="仿宋_GB2312" w:eastAsia="仿宋_GB2312" w:cs="仿宋_GB2312"/>
                <w:color w:val="1D1B1C"/>
                <w:sz w:val="18"/>
                <w:szCs w:val="18"/>
              </w:rPr>
              <w:t>02</w:t>
            </w:r>
          </w:p>
        </w:tc>
        <w:tc>
          <w:tcPr>
            <w:tcW w:w="2266"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adjustRightInd w:val="0"/>
              <w:snapToGrid w:val="0"/>
              <w:rPr>
                <w:rFonts w:ascii="宋体" w:cs="仿宋"/>
                <w:sz w:val="20"/>
                <w:szCs w:val="20"/>
              </w:rPr>
            </w:pPr>
            <w:r>
              <w:rPr>
                <w:rFonts w:hint="eastAsia" w:ascii="宋体" w:cs="仿宋"/>
                <w:sz w:val="20"/>
                <w:szCs w:val="20"/>
              </w:rPr>
              <w:t>气候变化、节能与低碳</w:t>
            </w:r>
          </w:p>
        </w:tc>
        <w:tc>
          <w:tcPr>
            <w:tcW w:w="538"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r>
              <w:rPr>
                <w:rFonts w:hint="eastAsia" w:ascii="宋体"/>
                <w:kern w:val="0"/>
                <w:sz w:val="20"/>
                <w:szCs w:val="20"/>
              </w:rPr>
              <w:t>2</w:t>
            </w:r>
          </w:p>
        </w:tc>
        <w:tc>
          <w:tcPr>
            <w:tcW w:w="854"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r>
              <w:rPr>
                <w:rFonts w:hint="eastAsia" w:ascii="宋体"/>
                <w:kern w:val="0"/>
                <w:sz w:val="20"/>
                <w:szCs w:val="20"/>
              </w:rPr>
              <w:t>3</w:t>
            </w:r>
            <w:r>
              <w:rPr>
                <w:rFonts w:ascii="宋体"/>
                <w:kern w:val="0"/>
                <w:sz w:val="20"/>
                <w:szCs w:val="20"/>
              </w:rPr>
              <w:t>2</w:t>
            </w:r>
          </w:p>
        </w:tc>
        <w:tc>
          <w:tcPr>
            <w:tcW w:w="567"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spacing w:line="360" w:lineRule="auto"/>
              <w:rPr>
                <w:rFonts w:ascii="宋体"/>
                <w:kern w:val="0"/>
                <w:sz w:val="20"/>
                <w:szCs w:val="20"/>
              </w:rPr>
            </w:pPr>
            <w:r>
              <w:rPr>
                <w:rFonts w:hint="eastAsia" w:ascii="宋体"/>
                <w:kern w:val="0"/>
                <w:sz w:val="20"/>
                <w:szCs w:val="20"/>
              </w:rPr>
              <w:t>1</w:t>
            </w:r>
            <w:r>
              <w:rPr>
                <w:rFonts w:ascii="宋体"/>
                <w:kern w:val="0"/>
                <w:sz w:val="20"/>
                <w:szCs w:val="20"/>
              </w:rPr>
              <w:t>6</w:t>
            </w:r>
          </w:p>
        </w:tc>
        <w:tc>
          <w:tcPr>
            <w:tcW w:w="538"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p>
        </w:tc>
        <w:tc>
          <w:tcPr>
            <w:tcW w:w="484"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spacing w:line="360" w:lineRule="auto"/>
              <w:rPr>
                <w:rFonts w:ascii="宋体"/>
                <w:kern w:val="0"/>
                <w:sz w:val="20"/>
                <w:szCs w:val="20"/>
              </w:rPr>
            </w:pPr>
            <w:r>
              <w:rPr>
                <w:rFonts w:hint="eastAsia" w:ascii="宋体"/>
                <w:kern w:val="0"/>
                <w:sz w:val="20"/>
                <w:szCs w:val="20"/>
              </w:rPr>
              <w:t>1</w:t>
            </w:r>
            <w:r>
              <w:rPr>
                <w:rFonts w:ascii="宋体"/>
                <w:kern w:val="0"/>
                <w:sz w:val="20"/>
                <w:szCs w:val="20"/>
              </w:rPr>
              <w:t>6</w:t>
            </w:r>
          </w:p>
        </w:tc>
        <w:tc>
          <w:tcPr>
            <w:tcW w:w="1408"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Fonts w:hint="eastAsia" w:ascii="仿宋_GB2312" w:eastAsia="仿宋_GB2312" w:cs="仿宋_GB2312"/>
                <w:color w:val="1D1B1C"/>
                <w:sz w:val="21"/>
                <w:szCs w:val="21"/>
              </w:rPr>
              <w:t>多样化考核</w:t>
            </w:r>
          </w:p>
        </w:tc>
        <w:tc>
          <w:tcPr>
            <w:tcW w:w="516" w:type="dxa"/>
            <w:tcBorders>
              <w:top w:val="single" w:color="auto" w:sz="6" w:space="0"/>
              <w:left w:val="single" w:color="auto" w:sz="6" w:space="0"/>
              <w:bottom w:val="single" w:color="auto" w:sz="6" w:space="0"/>
              <w:right w:val="single" w:color="auto" w:sz="12" w:space="0"/>
            </w:tcBorders>
            <w:shd w:val="clear" w:color="auto" w:fill="auto"/>
            <w:noWrap/>
            <w:tcMar>
              <w:top w:w="0" w:type="dxa"/>
              <w:bottom w:w="0"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Fonts w:hint="eastAsia" w:ascii="仿宋_GB2312" w:eastAsia="仿宋_GB2312" w:cs="仿宋_GB2312"/>
                <w:color w:val="1D1B1C"/>
                <w:sz w:val="21"/>
                <w:szCs w:val="21"/>
              </w:rPr>
              <w:t>3</w:t>
            </w:r>
          </w:p>
        </w:tc>
      </w:tr>
      <w:tr>
        <w:tblPrEx>
          <w:tblCellMar>
            <w:top w:w="15" w:type="dxa"/>
            <w:left w:w="15" w:type="dxa"/>
            <w:bottom w:w="15" w:type="dxa"/>
            <w:right w:w="15" w:type="dxa"/>
          </w:tblCellMar>
        </w:tblPrEx>
        <w:trPr>
          <w:trHeight w:val="480" w:hRule="atLeast"/>
          <w:jc w:val="center"/>
        </w:trPr>
        <w:tc>
          <w:tcPr>
            <w:tcW w:w="865" w:type="dxa"/>
            <w:tcBorders>
              <w:top w:val="single" w:color="auto" w:sz="6" w:space="0"/>
              <w:left w:val="single" w:color="auto" w:sz="12" w:space="0"/>
              <w:bottom w:val="single" w:color="auto" w:sz="6" w:space="0"/>
              <w:right w:val="single" w:color="auto" w:sz="6" w:space="0"/>
            </w:tcBorders>
            <w:shd w:val="clear" w:color="auto" w:fill="auto"/>
            <w:noWrap/>
            <w:tcMar>
              <w:top w:w="0" w:type="dxa"/>
              <w:bottom w:w="0"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Fonts w:hint="eastAsia" w:ascii="仿宋_GB2312" w:eastAsia="仿宋_GB2312" w:cs="仿宋_GB2312"/>
                <w:color w:val="1D1B1C"/>
                <w:sz w:val="18"/>
                <w:szCs w:val="18"/>
              </w:rPr>
              <w:t>03</w:t>
            </w:r>
          </w:p>
        </w:tc>
        <w:tc>
          <w:tcPr>
            <w:tcW w:w="2266"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adjustRightInd w:val="0"/>
              <w:snapToGrid w:val="0"/>
              <w:rPr>
                <w:rFonts w:ascii="宋体"/>
                <w:sz w:val="20"/>
                <w:szCs w:val="20"/>
              </w:rPr>
            </w:pPr>
            <w:r>
              <w:rPr>
                <w:rFonts w:hint="eastAsia" w:ascii="宋体" w:cs="仿宋"/>
                <w:sz w:val="20"/>
                <w:szCs w:val="20"/>
              </w:rPr>
              <w:t>野生动植物保护与管理</w:t>
            </w:r>
          </w:p>
        </w:tc>
        <w:tc>
          <w:tcPr>
            <w:tcW w:w="538"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r>
              <w:rPr>
                <w:rFonts w:hint="eastAsia" w:ascii="宋体"/>
                <w:kern w:val="0"/>
                <w:sz w:val="20"/>
                <w:szCs w:val="20"/>
              </w:rPr>
              <w:t>2</w:t>
            </w:r>
          </w:p>
        </w:tc>
        <w:tc>
          <w:tcPr>
            <w:tcW w:w="854"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r>
              <w:rPr>
                <w:rFonts w:hint="eastAsia" w:ascii="宋体"/>
                <w:kern w:val="0"/>
                <w:sz w:val="20"/>
                <w:szCs w:val="20"/>
              </w:rPr>
              <w:t>3</w:t>
            </w:r>
            <w:r>
              <w:rPr>
                <w:rFonts w:ascii="宋体"/>
                <w:kern w:val="0"/>
                <w:sz w:val="20"/>
                <w:szCs w:val="20"/>
              </w:rPr>
              <w:t>2</w:t>
            </w:r>
          </w:p>
        </w:tc>
        <w:tc>
          <w:tcPr>
            <w:tcW w:w="567"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spacing w:line="360" w:lineRule="auto"/>
              <w:rPr>
                <w:rFonts w:ascii="宋体"/>
                <w:kern w:val="0"/>
                <w:sz w:val="20"/>
                <w:szCs w:val="20"/>
              </w:rPr>
            </w:pPr>
            <w:r>
              <w:rPr>
                <w:rFonts w:hint="eastAsia" w:ascii="宋体"/>
                <w:kern w:val="0"/>
                <w:sz w:val="20"/>
                <w:szCs w:val="20"/>
              </w:rPr>
              <w:t>1</w:t>
            </w:r>
            <w:r>
              <w:rPr>
                <w:rFonts w:ascii="宋体"/>
                <w:kern w:val="0"/>
                <w:sz w:val="20"/>
                <w:szCs w:val="20"/>
              </w:rPr>
              <w:t>6</w:t>
            </w:r>
          </w:p>
        </w:tc>
        <w:tc>
          <w:tcPr>
            <w:tcW w:w="538"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p>
        </w:tc>
        <w:tc>
          <w:tcPr>
            <w:tcW w:w="484"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spacing w:line="360" w:lineRule="auto"/>
              <w:rPr>
                <w:rFonts w:ascii="宋体"/>
                <w:kern w:val="0"/>
                <w:sz w:val="20"/>
                <w:szCs w:val="20"/>
              </w:rPr>
            </w:pPr>
            <w:r>
              <w:rPr>
                <w:rFonts w:hint="eastAsia" w:ascii="宋体"/>
                <w:kern w:val="0"/>
                <w:sz w:val="20"/>
                <w:szCs w:val="20"/>
              </w:rPr>
              <w:t>1</w:t>
            </w:r>
            <w:r>
              <w:rPr>
                <w:rFonts w:ascii="宋体"/>
                <w:kern w:val="0"/>
                <w:sz w:val="20"/>
                <w:szCs w:val="20"/>
              </w:rPr>
              <w:t>6</w:t>
            </w:r>
          </w:p>
        </w:tc>
        <w:tc>
          <w:tcPr>
            <w:tcW w:w="1408"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Fonts w:hint="eastAsia" w:ascii="仿宋_GB2312" w:eastAsia="仿宋_GB2312" w:cs="仿宋_GB2312"/>
                <w:color w:val="1D1B1C"/>
                <w:sz w:val="21"/>
                <w:szCs w:val="21"/>
              </w:rPr>
              <w:t>多样化考核</w:t>
            </w:r>
          </w:p>
        </w:tc>
        <w:tc>
          <w:tcPr>
            <w:tcW w:w="516" w:type="dxa"/>
            <w:tcBorders>
              <w:top w:val="single" w:color="auto" w:sz="6" w:space="0"/>
              <w:left w:val="single" w:color="auto" w:sz="6" w:space="0"/>
              <w:bottom w:val="single" w:color="auto" w:sz="6" w:space="0"/>
              <w:right w:val="single" w:color="auto" w:sz="12" w:space="0"/>
            </w:tcBorders>
            <w:shd w:val="clear" w:color="auto" w:fill="auto"/>
            <w:noWrap/>
            <w:tcMar>
              <w:top w:w="0" w:type="dxa"/>
              <w:bottom w:w="0" w:type="dxa"/>
            </w:tcMar>
            <w:vAlign w:val="center"/>
          </w:tcPr>
          <w:p>
            <w:r>
              <w:rPr>
                <w:rFonts w:ascii="仿宋_GB2312" w:eastAsia="仿宋_GB2312" w:cs="仿宋_GB2312"/>
                <w:color w:val="1D1B1C"/>
                <w:szCs w:val="21"/>
              </w:rPr>
              <w:t>3</w:t>
            </w:r>
          </w:p>
        </w:tc>
      </w:tr>
      <w:tr>
        <w:tblPrEx>
          <w:tblCellMar>
            <w:top w:w="15" w:type="dxa"/>
            <w:left w:w="15" w:type="dxa"/>
            <w:bottom w:w="15" w:type="dxa"/>
            <w:right w:w="15" w:type="dxa"/>
          </w:tblCellMar>
        </w:tblPrEx>
        <w:trPr>
          <w:trHeight w:val="480" w:hRule="atLeast"/>
          <w:jc w:val="center"/>
        </w:trPr>
        <w:tc>
          <w:tcPr>
            <w:tcW w:w="865" w:type="dxa"/>
            <w:tcBorders>
              <w:top w:val="single" w:color="auto" w:sz="6" w:space="0"/>
              <w:left w:val="single" w:color="auto" w:sz="12" w:space="0"/>
              <w:bottom w:val="single" w:color="auto" w:sz="6" w:space="0"/>
              <w:right w:val="single" w:color="auto" w:sz="6" w:space="0"/>
            </w:tcBorders>
            <w:shd w:val="clear" w:color="auto" w:fill="auto"/>
            <w:noWrap/>
            <w:tcMar>
              <w:top w:w="0" w:type="dxa"/>
              <w:bottom w:w="0"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Fonts w:hint="eastAsia" w:ascii="仿宋_GB2312" w:eastAsia="仿宋_GB2312" w:cs="仿宋_GB2312"/>
                <w:color w:val="1D1B1C"/>
                <w:sz w:val="18"/>
                <w:szCs w:val="18"/>
              </w:rPr>
              <w:t>04</w:t>
            </w:r>
          </w:p>
        </w:tc>
        <w:tc>
          <w:tcPr>
            <w:tcW w:w="2266"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adjustRightInd w:val="0"/>
              <w:snapToGrid w:val="0"/>
              <w:rPr>
                <w:rFonts w:ascii="宋体"/>
                <w:sz w:val="20"/>
                <w:szCs w:val="20"/>
              </w:rPr>
            </w:pPr>
            <w:r>
              <w:rPr>
                <w:rFonts w:hint="eastAsia" w:ascii="宋体" w:cs="仿宋"/>
                <w:sz w:val="20"/>
                <w:szCs w:val="20"/>
              </w:rPr>
              <w:t>生态系统保护与修复</w:t>
            </w:r>
          </w:p>
        </w:tc>
        <w:tc>
          <w:tcPr>
            <w:tcW w:w="538"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r>
              <w:rPr>
                <w:rFonts w:hint="eastAsia" w:ascii="宋体"/>
                <w:kern w:val="0"/>
                <w:sz w:val="20"/>
                <w:szCs w:val="20"/>
              </w:rPr>
              <w:t>3</w:t>
            </w:r>
          </w:p>
        </w:tc>
        <w:tc>
          <w:tcPr>
            <w:tcW w:w="854"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r>
              <w:rPr>
                <w:rFonts w:hint="eastAsia" w:ascii="宋体"/>
                <w:kern w:val="0"/>
                <w:sz w:val="20"/>
                <w:szCs w:val="20"/>
              </w:rPr>
              <w:t>48</w:t>
            </w:r>
          </w:p>
        </w:tc>
        <w:tc>
          <w:tcPr>
            <w:tcW w:w="567"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spacing w:line="360" w:lineRule="auto"/>
              <w:rPr>
                <w:rFonts w:ascii="宋体"/>
                <w:kern w:val="0"/>
                <w:sz w:val="20"/>
                <w:szCs w:val="20"/>
              </w:rPr>
            </w:pPr>
            <w:r>
              <w:rPr>
                <w:rFonts w:hint="eastAsia" w:ascii="宋体"/>
                <w:kern w:val="0"/>
                <w:sz w:val="20"/>
                <w:szCs w:val="20"/>
              </w:rPr>
              <w:t>2</w:t>
            </w:r>
            <w:r>
              <w:rPr>
                <w:rFonts w:ascii="宋体"/>
                <w:kern w:val="0"/>
                <w:sz w:val="20"/>
                <w:szCs w:val="20"/>
              </w:rPr>
              <w:t>4</w:t>
            </w:r>
          </w:p>
        </w:tc>
        <w:tc>
          <w:tcPr>
            <w:tcW w:w="538"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p>
        </w:tc>
        <w:tc>
          <w:tcPr>
            <w:tcW w:w="484"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spacing w:line="360" w:lineRule="auto"/>
              <w:rPr>
                <w:rFonts w:ascii="宋体"/>
                <w:kern w:val="0"/>
                <w:sz w:val="20"/>
                <w:szCs w:val="20"/>
              </w:rPr>
            </w:pPr>
            <w:r>
              <w:rPr>
                <w:rFonts w:ascii="宋体"/>
                <w:kern w:val="0"/>
                <w:sz w:val="20"/>
                <w:szCs w:val="20"/>
              </w:rPr>
              <w:t>24</w:t>
            </w:r>
          </w:p>
        </w:tc>
        <w:tc>
          <w:tcPr>
            <w:tcW w:w="1408"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Fonts w:hint="eastAsia" w:ascii="仿宋_GB2312" w:eastAsia="仿宋_GB2312" w:cs="仿宋_GB2312"/>
                <w:color w:val="1D1B1C"/>
                <w:sz w:val="21"/>
                <w:szCs w:val="21"/>
              </w:rPr>
              <w:t>多样化考核</w:t>
            </w:r>
          </w:p>
        </w:tc>
        <w:tc>
          <w:tcPr>
            <w:tcW w:w="516" w:type="dxa"/>
            <w:tcBorders>
              <w:top w:val="single" w:color="auto" w:sz="6" w:space="0"/>
              <w:left w:val="single" w:color="auto" w:sz="6" w:space="0"/>
              <w:bottom w:val="single" w:color="auto" w:sz="6" w:space="0"/>
              <w:right w:val="single" w:color="auto" w:sz="12" w:space="0"/>
            </w:tcBorders>
            <w:shd w:val="clear" w:color="auto" w:fill="auto"/>
            <w:noWrap/>
            <w:tcMar>
              <w:top w:w="0" w:type="dxa"/>
              <w:bottom w:w="0" w:type="dxa"/>
            </w:tcMar>
            <w:vAlign w:val="center"/>
          </w:tcPr>
          <w:p>
            <w:r>
              <w:rPr>
                <w:rFonts w:ascii="仿宋_GB2312" w:eastAsia="仿宋_GB2312" w:cs="仿宋_GB2312"/>
                <w:color w:val="1D1B1C"/>
                <w:szCs w:val="21"/>
              </w:rPr>
              <w:t>4</w:t>
            </w:r>
          </w:p>
        </w:tc>
      </w:tr>
      <w:tr>
        <w:tblPrEx>
          <w:tblCellMar>
            <w:top w:w="15" w:type="dxa"/>
            <w:left w:w="15" w:type="dxa"/>
            <w:bottom w:w="15" w:type="dxa"/>
            <w:right w:w="15" w:type="dxa"/>
          </w:tblCellMar>
        </w:tblPrEx>
        <w:trPr>
          <w:trHeight w:val="480" w:hRule="atLeast"/>
          <w:jc w:val="center"/>
        </w:trPr>
        <w:tc>
          <w:tcPr>
            <w:tcW w:w="865" w:type="dxa"/>
            <w:tcBorders>
              <w:top w:val="single" w:color="auto" w:sz="6" w:space="0"/>
              <w:left w:val="single" w:color="auto" w:sz="12" w:space="0"/>
              <w:bottom w:val="single" w:color="auto" w:sz="6" w:space="0"/>
              <w:right w:val="single" w:color="auto" w:sz="6" w:space="0"/>
            </w:tcBorders>
            <w:shd w:val="clear" w:color="auto" w:fill="auto"/>
            <w:noWrap/>
            <w:tcMar>
              <w:top w:w="0" w:type="dxa"/>
              <w:bottom w:w="0"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Fonts w:hint="eastAsia" w:ascii="仿宋_GB2312" w:eastAsia="仿宋_GB2312" w:cs="仿宋_GB2312"/>
                <w:color w:val="1D1B1C"/>
                <w:sz w:val="18"/>
                <w:szCs w:val="18"/>
              </w:rPr>
              <w:t>0</w:t>
            </w:r>
            <w:r>
              <w:rPr>
                <w:rFonts w:ascii="仿宋_GB2312" w:eastAsia="仿宋_GB2312" w:cs="仿宋_GB2312"/>
                <w:color w:val="1D1B1C"/>
                <w:sz w:val="18"/>
                <w:szCs w:val="18"/>
              </w:rPr>
              <w:t>5</w:t>
            </w:r>
          </w:p>
        </w:tc>
        <w:tc>
          <w:tcPr>
            <w:tcW w:w="2266"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adjustRightInd w:val="0"/>
              <w:snapToGrid w:val="0"/>
              <w:rPr>
                <w:rFonts w:ascii="宋体"/>
                <w:sz w:val="20"/>
                <w:szCs w:val="20"/>
              </w:rPr>
            </w:pPr>
            <w:r>
              <w:rPr>
                <w:rFonts w:hint="eastAsia" w:ascii="宋体" w:cs="仿宋"/>
                <w:sz w:val="20"/>
                <w:szCs w:val="20"/>
              </w:rPr>
              <w:t>自然资源资产管理</w:t>
            </w:r>
          </w:p>
        </w:tc>
        <w:tc>
          <w:tcPr>
            <w:tcW w:w="538"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r>
              <w:rPr>
                <w:rFonts w:ascii="宋体"/>
                <w:kern w:val="0"/>
                <w:sz w:val="20"/>
                <w:szCs w:val="20"/>
              </w:rPr>
              <w:t>3</w:t>
            </w:r>
          </w:p>
        </w:tc>
        <w:tc>
          <w:tcPr>
            <w:tcW w:w="854"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r>
              <w:rPr>
                <w:rFonts w:hint="eastAsia" w:ascii="宋体"/>
                <w:kern w:val="0"/>
                <w:sz w:val="20"/>
                <w:szCs w:val="20"/>
              </w:rPr>
              <w:t>4</w:t>
            </w:r>
            <w:r>
              <w:rPr>
                <w:rFonts w:ascii="宋体"/>
                <w:kern w:val="0"/>
                <w:sz w:val="20"/>
                <w:szCs w:val="20"/>
              </w:rPr>
              <w:t>8</w:t>
            </w:r>
          </w:p>
        </w:tc>
        <w:tc>
          <w:tcPr>
            <w:tcW w:w="567"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spacing w:line="360" w:lineRule="auto"/>
              <w:rPr>
                <w:rFonts w:ascii="宋体"/>
                <w:kern w:val="0"/>
                <w:sz w:val="20"/>
                <w:szCs w:val="20"/>
              </w:rPr>
            </w:pPr>
            <w:r>
              <w:rPr>
                <w:rFonts w:hint="eastAsia" w:ascii="宋体"/>
                <w:kern w:val="0"/>
                <w:sz w:val="20"/>
                <w:szCs w:val="20"/>
              </w:rPr>
              <w:t>2</w:t>
            </w:r>
            <w:r>
              <w:rPr>
                <w:rFonts w:ascii="宋体"/>
                <w:kern w:val="0"/>
                <w:sz w:val="20"/>
                <w:szCs w:val="20"/>
              </w:rPr>
              <w:t>4</w:t>
            </w:r>
          </w:p>
        </w:tc>
        <w:tc>
          <w:tcPr>
            <w:tcW w:w="538"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p>
        </w:tc>
        <w:tc>
          <w:tcPr>
            <w:tcW w:w="484"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spacing w:line="360" w:lineRule="auto"/>
              <w:rPr>
                <w:rFonts w:ascii="宋体"/>
                <w:kern w:val="0"/>
                <w:sz w:val="20"/>
                <w:szCs w:val="20"/>
              </w:rPr>
            </w:pPr>
            <w:r>
              <w:rPr>
                <w:rFonts w:hint="eastAsia" w:ascii="宋体"/>
                <w:kern w:val="0"/>
                <w:sz w:val="20"/>
                <w:szCs w:val="20"/>
              </w:rPr>
              <w:t>2</w:t>
            </w:r>
            <w:r>
              <w:rPr>
                <w:rFonts w:ascii="宋体"/>
                <w:kern w:val="0"/>
                <w:sz w:val="20"/>
                <w:szCs w:val="20"/>
              </w:rPr>
              <w:t>4</w:t>
            </w:r>
          </w:p>
        </w:tc>
        <w:tc>
          <w:tcPr>
            <w:tcW w:w="1408"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Fonts w:hint="eastAsia" w:ascii="仿宋_GB2312" w:eastAsia="仿宋_GB2312" w:cs="仿宋_GB2312"/>
                <w:color w:val="1D1B1C"/>
                <w:sz w:val="21"/>
                <w:szCs w:val="21"/>
              </w:rPr>
              <w:t>多样化考核</w:t>
            </w:r>
          </w:p>
        </w:tc>
        <w:tc>
          <w:tcPr>
            <w:tcW w:w="516" w:type="dxa"/>
            <w:tcBorders>
              <w:top w:val="single" w:color="auto" w:sz="6" w:space="0"/>
              <w:left w:val="single" w:color="auto" w:sz="6" w:space="0"/>
              <w:bottom w:val="single" w:color="auto" w:sz="6" w:space="0"/>
              <w:right w:val="single" w:color="auto" w:sz="12" w:space="0"/>
            </w:tcBorders>
            <w:shd w:val="clear" w:color="auto" w:fill="auto"/>
            <w:noWrap/>
            <w:tcMar>
              <w:top w:w="0" w:type="dxa"/>
              <w:bottom w:w="0" w:type="dxa"/>
            </w:tcMar>
            <w:vAlign w:val="center"/>
          </w:tcPr>
          <w:p>
            <w:r>
              <w:rPr>
                <w:rFonts w:ascii="仿宋_GB2312" w:eastAsia="仿宋_GB2312" w:cs="仿宋_GB2312"/>
                <w:color w:val="1D1B1C"/>
                <w:szCs w:val="21"/>
              </w:rPr>
              <w:t>5</w:t>
            </w:r>
          </w:p>
        </w:tc>
      </w:tr>
      <w:tr>
        <w:tblPrEx>
          <w:tblCellMar>
            <w:top w:w="15" w:type="dxa"/>
            <w:left w:w="15" w:type="dxa"/>
            <w:bottom w:w="15" w:type="dxa"/>
            <w:right w:w="15" w:type="dxa"/>
          </w:tblCellMar>
        </w:tblPrEx>
        <w:trPr>
          <w:trHeight w:val="480" w:hRule="atLeast"/>
          <w:jc w:val="center"/>
        </w:trPr>
        <w:tc>
          <w:tcPr>
            <w:tcW w:w="865" w:type="dxa"/>
            <w:tcBorders>
              <w:top w:val="single" w:color="auto" w:sz="6" w:space="0"/>
              <w:left w:val="single" w:color="auto" w:sz="12" w:space="0"/>
              <w:bottom w:val="single" w:color="auto" w:sz="6" w:space="0"/>
              <w:right w:val="single" w:color="auto" w:sz="6" w:space="0"/>
            </w:tcBorders>
            <w:shd w:val="clear" w:color="auto" w:fill="auto"/>
            <w:noWrap/>
            <w:tcMar>
              <w:top w:w="0" w:type="dxa"/>
              <w:bottom w:w="0" w:type="dxa"/>
            </w:tcMar>
            <w:vAlign w:val="center"/>
          </w:tcPr>
          <w:p>
            <w:pPr>
              <w:pStyle w:val="4"/>
              <w:widowControl/>
              <w:spacing w:beforeAutospacing="0" w:afterAutospacing="0" w:line="210" w:lineRule="atLeast"/>
              <w:jc w:val="both"/>
              <w:rPr>
                <w:rFonts w:ascii="仿宋_GB2312" w:eastAsia="仿宋_GB2312" w:cs="仿宋_GB2312"/>
                <w:color w:val="1D1B1C"/>
                <w:sz w:val="18"/>
                <w:szCs w:val="18"/>
              </w:rPr>
            </w:pPr>
            <w:r>
              <w:rPr>
                <w:rFonts w:hint="eastAsia" w:ascii="仿宋_GB2312" w:eastAsia="仿宋_GB2312" w:cs="仿宋_GB2312"/>
                <w:color w:val="1D1B1C"/>
                <w:sz w:val="18"/>
                <w:szCs w:val="18"/>
              </w:rPr>
              <w:t>0</w:t>
            </w:r>
            <w:r>
              <w:rPr>
                <w:rFonts w:ascii="仿宋_GB2312" w:eastAsia="仿宋_GB2312" w:cs="仿宋_GB2312"/>
                <w:color w:val="1D1B1C"/>
                <w:sz w:val="18"/>
                <w:szCs w:val="18"/>
              </w:rPr>
              <w:t>6</w:t>
            </w:r>
          </w:p>
        </w:tc>
        <w:tc>
          <w:tcPr>
            <w:tcW w:w="2266"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adjustRightInd w:val="0"/>
              <w:snapToGrid w:val="0"/>
              <w:rPr>
                <w:rFonts w:ascii="宋体" w:cs="仿宋"/>
                <w:sz w:val="20"/>
                <w:szCs w:val="20"/>
              </w:rPr>
            </w:pPr>
            <w:r>
              <w:rPr>
                <w:rFonts w:hint="eastAsia" w:ascii="宋体" w:cs="仿宋"/>
                <w:sz w:val="20"/>
                <w:szCs w:val="20"/>
              </w:rPr>
              <w:t>生态旅游与健康</w:t>
            </w:r>
          </w:p>
        </w:tc>
        <w:tc>
          <w:tcPr>
            <w:tcW w:w="538"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r>
              <w:rPr>
                <w:rFonts w:hint="eastAsia" w:ascii="宋体"/>
                <w:kern w:val="0"/>
                <w:sz w:val="20"/>
                <w:szCs w:val="20"/>
              </w:rPr>
              <w:t>2</w:t>
            </w:r>
          </w:p>
        </w:tc>
        <w:tc>
          <w:tcPr>
            <w:tcW w:w="854"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r>
              <w:rPr>
                <w:rFonts w:hint="eastAsia" w:ascii="宋体"/>
                <w:kern w:val="0"/>
                <w:sz w:val="20"/>
                <w:szCs w:val="20"/>
              </w:rPr>
              <w:t>3</w:t>
            </w:r>
            <w:r>
              <w:rPr>
                <w:rFonts w:ascii="宋体"/>
                <w:kern w:val="0"/>
                <w:sz w:val="20"/>
                <w:szCs w:val="20"/>
              </w:rPr>
              <w:t>2</w:t>
            </w:r>
          </w:p>
        </w:tc>
        <w:tc>
          <w:tcPr>
            <w:tcW w:w="567"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spacing w:line="360" w:lineRule="auto"/>
              <w:rPr>
                <w:rFonts w:ascii="宋体"/>
                <w:kern w:val="0"/>
                <w:sz w:val="20"/>
                <w:szCs w:val="20"/>
              </w:rPr>
            </w:pPr>
            <w:r>
              <w:rPr>
                <w:rFonts w:hint="eastAsia" w:ascii="宋体"/>
                <w:kern w:val="0"/>
                <w:sz w:val="20"/>
                <w:szCs w:val="20"/>
              </w:rPr>
              <w:t>1</w:t>
            </w:r>
            <w:r>
              <w:rPr>
                <w:rFonts w:ascii="宋体"/>
                <w:kern w:val="0"/>
                <w:sz w:val="20"/>
                <w:szCs w:val="20"/>
              </w:rPr>
              <w:t>6</w:t>
            </w:r>
          </w:p>
        </w:tc>
        <w:tc>
          <w:tcPr>
            <w:tcW w:w="538"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p>
        </w:tc>
        <w:tc>
          <w:tcPr>
            <w:tcW w:w="484"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spacing w:line="360" w:lineRule="auto"/>
              <w:rPr>
                <w:rFonts w:ascii="宋体"/>
                <w:kern w:val="0"/>
                <w:sz w:val="20"/>
                <w:szCs w:val="20"/>
              </w:rPr>
            </w:pPr>
            <w:r>
              <w:rPr>
                <w:rFonts w:hint="eastAsia" w:ascii="宋体"/>
                <w:kern w:val="0"/>
                <w:sz w:val="20"/>
                <w:szCs w:val="20"/>
              </w:rPr>
              <w:t>1</w:t>
            </w:r>
            <w:r>
              <w:rPr>
                <w:rFonts w:ascii="宋体"/>
                <w:kern w:val="0"/>
                <w:sz w:val="20"/>
                <w:szCs w:val="20"/>
              </w:rPr>
              <w:t>6</w:t>
            </w:r>
          </w:p>
        </w:tc>
        <w:tc>
          <w:tcPr>
            <w:tcW w:w="1408"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Fonts w:hint="eastAsia" w:ascii="仿宋_GB2312" w:eastAsia="仿宋_GB2312" w:cs="仿宋_GB2312"/>
                <w:color w:val="1D1B1C"/>
                <w:sz w:val="21"/>
                <w:szCs w:val="21"/>
              </w:rPr>
              <w:t>多样化考核</w:t>
            </w:r>
          </w:p>
        </w:tc>
        <w:tc>
          <w:tcPr>
            <w:tcW w:w="516" w:type="dxa"/>
            <w:tcBorders>
              <w:top w:val="single" w:color="auto" w:sz="6" w:space="0"/>
              <w:left w:val="single" w:color="auto" w:sz="6" w:space="0"/>
              <w:bottom w:val="single" w:color="auto" w:sz="6" w:space="0"/>
              <w:right w:val="single" w:color="auto" w:sz="12" w:space="0"/>
            </w:tcBorders>
            <w:shd w:val="clear" w:color="auto" w:fill="auto"/>
            <w:noWrap/>
            <w:tcMar>
              <w:top w:w="0" w:type="dxa"/>
              <w:bottom w:w="0" w:type="dxa"/>
            </w:tcMar>
            <w:vAlign w:val="center"/>
          </w:tcPr>
          <w:p>
            <w:pPr>
              <w:rPr>
                <w:rFonts w:ascii="仿宋_GB2312" w:eastAsia="仿宋_GB2312" w:cs="仿宋_GB2312"/>
                <w:color w:val="1D1B1C"/>
                <w:szCs w:val="21"/>
              </w:rPr>
            </w:pPr>
            <w:r>
              <w:rPr>
                <w:rFonts w:hint="eastAsia" w:ascii="仿宋_GB2312" w:eastAsia="仿宋_GB2312" w:cs="仿宋_GB2312"/>
                <w:color w:val="1D1B1C"/>
                <w:szCs w:val="21"/>
              </w:rPr>
              <w:t>5</w:t>
            </w:r>
          </w:p>
        </w:tc>
      </w:tr>
      <w:tr>
        <w:tblPrEx>
          <w:tblCellMar>
            <w:top w:w="15" w:type="dxa"/>
            <w:left w:w="15" w:type="dxa"/>
            <w:bottom w:w="15" w:type="dxa"/>
            <w:right w:w="15" w:type="dxa"/>
          </w:tblCellMar>
        </w:tblPrEx>
        <w:trPr>
          <w:trHeight w:val="480" w:hRule="atLeast"/>
          <w:jc w:val="center"/>
        </w:trPr>
        <w:tc>
          <w:tcPr>
            <w:tcW w:w="865" w:type="dxa"/>
            <w:tcBorders>
              <w:top w:val="single" w:color="auto" w:sz="6" w:space="0"/>
              <w:left w:val="single" w:color="auto" w:sz="12" w:space="0"/>
              <w:bottom w:val="single" w:color="auto" w:sz="6" w:space="0"/>
              <w:right w:val="single" w:color="auto" w:sz="6" w:space="0"/>
            </w:tcBorders>
            <w:shd w:val="clear" w:color="auto" w:fill="auto"/>
            <w:noWrap/>
            <w:tcMar>
              <w:top w:w="0" w:type="dxa"/>
              <w:bottom w:w="0"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Fonts w:hint="eastAsia" w:ascii="仿宋_GB2312" w:eastAsia="仿宋_GB2312" w:cs="仿宋_GB2312"/>
                <w:color w:val="1D1B1C"/>
                <w:sz w:val="18"/>
                <w:szCs w:val="18"/>
              </w:rPr>
              <w:t>0</w:t>
            </w:r>
            <w:r>
              <w:rPr>
                <w:rFonts w:ascii="仿宋_GB2312" w:eastAsia="仿宋_GB2312" w:cs="仿宋_GB2312"/>
                <w:color w:val="1D1B1C"/>
                <w:sz w:val="18"/>
                <w:szCs w:val="18"/>
              </w:rPr>
              <w:t>7</w:t>
            </w:r>
          </w:p>
        </w:tc>
        <w:tc>
          <w:tcPr>
            <w:tcW w:w="2266"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adjustRightInd w:val="0"/>
              <w:snapToGrid w:val="0"/>
              <w:rPr>
                <w:rFonts w:ascii="宋体" w:cs="仿宋"/>
                <w:sz w:val="20"/>
                <w:szCs w:val="20"/>
              </w:rPr>
            </w:pPr>
            <w:r>
              <w:rPr>
                <w:rFonts w:hint="eastAsia" w:ascii="宋体" w:cs="仿宋"/>
                <w:sz w:val="20"/>
                <w:szCs w:val="20"/>
              </w:rPr>
              <w:t>智慧国家公园</w:t>
            </w:r>
          </w:p>
        </w:tc>
        <w:tc>
          <w:tcPr>
            <w:tcW w:w="538"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r>
              <w:rPr>
                <w:rFonts w:hint="eastAsia" w:ascii="宋体"/>
                <w:kern w:val="0"/>
                <w:sz w:val="20"/>
                <w:szCs w:val="20"/>
              </w:rPr>
              <w:t>2</w:t>
            </w:r>
          </w:p>
        </w:tc>
        <w:tc>
          <w:tcPr>
            <w:tcW w:w="854"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r>
              <w:rPr>
                <w:rFonts w:hint="eastAsia" w:ascii="宋体"/>
                <w:kern w:val="0"/>
                <w:sz w:val="20"/>
                <w:szCs w:val="20"/>
              </w:rPr>
              <w:t>32</w:t>
            </w:r>
          </w:p>
        </w:tc>
        <w:tc>
          <w:tcPr>
            <w:tcW w:w="567"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spacing w:line="360" w:lineRule="auto"/>
              <w:rPr>
                <w:rFonts w:ascii="宋体"/>
                <w:kern w:val="0"/>
                <w:sz w:val="20"/>
                <w:szCs w:val="20"/>
              </w:rPr>
            </w:pPr>
            <w:r>
              <w:rPr>
                <w:rFonts w:hint="eastAsia" w:ascii="宋体"/>
                <w:kern w:val="0"/>
                <w:sz w:val="20"/>
                <w:szCs w:val="20"/>
              </w:rPr>
              <w:t>1</w:t>
            </w:r>
            <w:r>
              <w:rPr>
                <w:rFonts w:ascii="宋体"/>
                <w:kern w:val="0"/>
                <w:sz w:val="20"/>
                <w:szCs w:val="20"/>
              </w:rPr>
              <w:t>2</w:t>
            </w:r>
          </w:p>
        </w:tc>
        <w:tc>
          <w:tcPr>
            <w:tcW w:w="538" w:type="dxa"/>
            <w:tcBorders>
              <w:top w:val="single" w:color="auto" w:sz="6" w:space="0"/>
              <w:left w:val="single" w:color="auto" w:sz="6" w:space="0"/>
              <w:bottom w:val="single" w:color="auto" w:sz="6" w:space="0"/>
              <w:right w:val="single" w:color="auto" w:sz="6" w:space="0"/>
            </w:tcBorders>
            <w:shd w:val="clear" w:color="auto" w:fill="auto"/>
            <w:noWrap/>
            <w:tcMar>
              <w:top w:w="0" w:type="dxa"/>
              <w:bottom w:w="0" w:type="dxa"/>
            </w:tcMar>
            <w:vAlign w:val="center"/>
          </w:tcPr>
          <w:p>
            <w:pPr>
              <w:spacing w:line="360" w:lineRule="auto"/>
              <w:rPr>
                <w:rFonts w:ascii="宋体"/>
                <w:kern w:val="0"/>
                <w:sz w:val="20"/>
                <w:szCs w:val="20"/>
              </w:rPr>
            </w:pPr>
          </w:p>
        </w:tc>
        <w:tc>
          <w:tcPr>
            <w:tcW w:w="484"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spacing w:line="360" w:lineRule="auto"/>
              <w:rPr>
                <w:rFonts w:ascii="宋体"/>
                <w:kern w:val="0"/>
                <w:sz w:val="20"/>
                <w:szCs w:val="20"/>
              </w:rPr>
            </w:pPr>
            <w:r>
              <w:rPr>
                <w:rFonts w:hint="eastAsia" w:ascii="宋体"/>
                <w:kern w:val="0"/>
                <w:sz w:val="20"/>
                <w:szCs w:val="20"/>
              </w:rPr>
              <w:t>2</w:t>
            </w:r>
            <w:r>
              <w:rPr>
                <w:rFonts w:ascii="宋体"/>
                <w:kern w:val="0"/>
                <w:sz w:val="20"/>
                <w:szCs w:val="20"/>
              </w:rPr>
              <w:t>0</w:t>
            </w:r>
          </w:p>
        </w:tc>
        <w:tc>
          <w:tcPr>
            <w:tcW w:w="1408" w:type="dxa"/>
            <w:tcBorders>
              <w:top w:val="single" w:color="auto" w:sz="6" w:space="0"/>
              <w:left w:val="single" w:color="auto" w:sz="6" w:space="0"/>
              <w:bottom w:val="single" w:color="auto" w:sz="6" w:space="0"/>
              <w:right w:val="single" w:color="auto" w:sz="6" w:space="0"/>
            </w:tcBorders>
            <w:shd w:val="clear" w:color="auto" w:fill="auto"/>
            <w:noWrap/>
            <w:tcMar>
              <w:top w:w="0" w:type="dxa"/>
              <w:left w:w="105" w:type="dxa"/>
              <w:bottom w:w="0" w:type="dxa"/>
              <w:right w:w="105"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Fonts w:hint="eastAsia" w:ascii="仿宋_GB2312" w:eastAsia="仿宋_GB2312" w:cs="仿宋_GB2312"/>
                <w:color w:val="1D1B1C"/>
                <w:sz w:val="21"/>
                <w:szCs w:val="21"/>
              </w:rPr>
              <w:t>多样化考核</w:t>
            </w:r>
          </w:p>
        </w:tc>
        <w:tc>
          <w:tcPr>
            <w:tcW w:w="516" w:type="dxa"/>
            <w:tcBorders>
              <w:top w:val="single" w:color="auto" w:sz="6" w:space="0"/>
              <w:left w:val="single" w:color="auto" w:sz="6" w:space="0"/>
              <w:bottom w:val="single" w:color="auto" w:sz="6" w:space="0"/>
              <w:right w:val="single" w:color="auto" w:sz="12" w:space="0"/>
            </w:tcBorders>
            <w:shd w:val="clear" w:color="auto" w:fill="auto"/>
            <w:noWrap/>
            <w:tcMar>
              <w:top w:w="0" w:type="dxa"/>
              <w:bottom w:w="0" w:type="dxa"/>
            </w:tcMar>
            <w:vAlign w:val="center"/>
          </w:tcPr>
          <w:p>
            <w:r>
              <w:rPr>
                <w:rFonts w:hint="eastAsia" w:ascii="仿宋_GB2312" w:eastAsia="仿宋_GB2312" w:cs="仿宋_GB2312"/>
                <w:color w:val="1D1B1C"/>
                <w:szCs w:val="21"/>
              </w:rPr>
              <w:t>5</w:t>
            </w:r>
          </w:p>
        </w:tc>
      </w:tr>
      <w:tr>
        <w:tblPrEx>
          <w:tblCellMar>
            <w:top w:w="15" w:type="dxa"/>
            <w:left w:w="15" w:type="dxa"/>
            <w:bottom w:w="15" w:type="dxa"/>
            <w:right w:w="15" w:type="dxa"/>
          </w:tblCellMar>
        </w:tblPrEx>
        <w:trPr>
          <w:trHeight w:val="477" w:hRule="atLeast"/>
          <w:jc w:val="center"/>
        </w:trPr>
        <w:tc>
          <w:tcPr>
            <w:tcW w:w="3131" w:type="dxa"/>
            <w:gridSpan w:val="2"/>
            <w:tcBorders>
              <w:top w:val="single" w:color="auto" w:sz="6" w:space="0"/>
              <w:left w:val="single" w:color="auto" w:sz="12" w:space="0"/>
              <w:bottom w:val="single" w:color="auto" w:sz="12" w:space="0"/>
              <w:right w:val="single" w:color="auto" w:sz="6" w:space="0"/>
            </w:tcBorders>
            <w:shd w:val="clear" w:color="auto" w:fill="auto"/>
            <w:noWrap/>
            <w:tcMar>
              <w:top w:w="0" w:type="dxa"/>
              <w:bottom w:w="0" w:type="dxa"/>
            </w:tcMar>
            <w:vAlign w:val="center"/>
          </w:tcPr>
          <w:p>
            <w:pPr>
              <w:pStyle w:val="4"/>
              <w:widowControl/>
              <w:spacing w:beforeAutospacing="0" w:afterAutospacing="0" w:line="210" w:lineRule="atLeast"/>
              <w:jc w:val="both"/>
              <w:rPr>
                <w:rFonts w:ascii="仿宋_GB2312" w:eastAsia="仿宋_GB2312" w:cs="仿宋_GB2312"/>
                <w:color w:val="1D1B1C"/>
                <w:sz w:val="21"/>
                <w:szCs w:val="21"/>
              </w:rPr>
            </w:pPr>
            <w:r>
              <w:rPr>
                <w:rFonts w:hint="eastAsia" w:ascii="仿宋_GB2312" w:eastAsia="仿宋_GB2312" w:cs="仿宋_GB2312"/>
                <w:color w:val="1D1B1C"/>
                <w:sz w:val="18"/>
                <w:szCs w:val="18"/>
              </w:rPr>
              <w:t xml:space="preserve">小计 </w:t>
            </w:r>
          </w:p>
        </w:tc>
        <w:tc>
          <w:tcPr>
            <w:tcW w:w="538" w:type="dxa"/>
            <w:tcBorders>
              <w:top w:val="single" w:color="auto" w:sz="6" w:space="0"/>
              <w:left w:val="single" w:color="auto" w:sz="6" w:space="0"/>
              <w:bottom w:val="single" w:color="auto" w:sz="12" w:space="0"/>
              <w:right w:val="single" w:color="auto" w:sz="6" w:space="0"/>
            </w:tcBorders>
            <w:shd w:val="clear" w:color="auto" w:fill="auto"/>
            <w:noWrap/>
            <w:tcMar>
              <w:top w:w="0" w:type="dxa"/>
              <w:bottom w:w="0" w:type="dxa"/>
            </w:tcMar>
            <w:vAlign w:val="center"/>
          </w:tcPr>
          <w:p>
            <w:pPr>
              <w:spacing w:line="360" w:lineRule="auto"/>
              <w:rPr>
                <w:kern w:val="0"/>
                <w:sz w:val="20"/>
                <w:szCs w:val="20"/>
              </w:rPr>
            </w:pPr>
            <w:r>
              <w:rPr>
                <w:rFonts w:hint="eastAsia"/>
                <w:kern w:val="0"/>
                <w:sz w:val="20"/>
                <w:szCs w:val="20"/>
              </w:rPr>
              <w:t>1</w:t>
            </w:r>
            <w:r>
              <w:rPr>
                <w:kern w:val="0"/>
                <w:sz w:val="20"/>
                <w:szCs w:val="20"/>
              </w:rPr>
              <w:t>6</w:t>
            </w:r>
          </w:p>
        </w:tc>
        <w:tc>
          <w:tcPr>
            <w:tcW w:w="854" w:type="dxa"/>
            <w:tcBorders>
              <w:top w:val="single" w:color="auto" w:sz="6" w:space="0"/>
              <w:left w:val="single" w:color="auto" w:sz="6" w:space="0"/>
              <w:bottom w:val="single" w:color="auto" w:sz="12" w:space="0"/>
              <w:right w:val="single" w:color="auto" w:sz="6" w:space="0"/>
            </w:tcBorders>
            <w:shd w:val="clear" w:color="auto" w:fill="auto"/>
            <w:noWrap/>
            <w:tcMar>
              <w:top w:w="0" w:type="dxa"/>
              <w:bottom w:w="0" w:type="dxa"/>
            </w:tcMar>
            <w:vAlign w:val="center"/>
          </w:tcPr>
          <w:p>
            <w:pPr>
              <w:spacing w:line="360" w:lineRule="auto"/>
              <w:rPr>
                <w:kern w:val="0"/>
                <w:sz w:val="20"/>
                <w:szCs w:val="20"/>
              </w:rPr>
            </w:pPr>
            <w:r>
              <w:rPr>
                <w:rFonts w:hint="eastAsia"/>
                <w:kern w:val="0"/>
                <w:sz w:val="20"/>
                <w:szCs w:val="20"/>
              </w:rPr>
              <w:t>2</w:t>
            </w:r>
            <w:r>
              <w:rPr>
                <w:kern w:val="0"/>
                <w:sz w:val="20"/>
                <w:szCs w:val="20"/>
              </w:rPr>
              <w:t>56</w:t>
            </w:r>
          </w:p>
        </w:tc>
        <w:tc>
          <w:tcPr>
            <w:tcW w:w="567" w:type="dxa"/>
            <w:tcBorders>
              <w:top w:val="single" w:color="auto" w:sz="6" w:space="0"/>
              <w:left w:val="single" w:color="auto" w:sz="6" w:space="0"/>
              <w:bottom w:val="single" w:color="auto" w:sz="12" w:space="0"/>
              <w:right w:val="single" w:color="auto" w:sz="6" w:space="0"/>
            </w:tcBorders>
            <w:shd w:val="clear" w:color="auto" w:fill="auto"/>
            <w:noWrap/>
            <w:tcMar>
              <w:top w:w="0" w:type="dxa"/>
              <w:left w:w="105" w:type="dxa"/>
              <w:bottom w:w="0" w:type="dxa"/>
              <w:right w:w="105" w:type="dxa"/>
            </w:tcMar>
            <w:vAlign w:val="center"/>
          </w:tcPr>
          <w:p>
            <w:pPr>
              <w:spacing w:line="360" w:lineRule="auto"/>
              <w:rPr>
                <w:kern w:val="0"/>
                <w:sz w:val="20"/>
                <w:szCs w:val="20"/>
              </w:rPr>
            </w:pPr>
            <w:r>
              <w:rPr>
                <w:rFonts w:hint="eastAsia"/>
                <w:kern w:val="0"/>
                <w:sz w:val="20"/>
                <w:szCs w:val="20"/>
              </w:rPr>
              <w:t>1</w:t>
            </w:r>
            <w:r>
              <w:rPr>
                <w:kern w:val="0"/>
                <w:sz w:val="20"/>
                <w:szCs w:val="20"/>
              </w:rPr>
              <w:t>28</w:t>
            </w:r>
          </w:p>
        </w:tc>
        <w:tc>
          <w:tcPr>
            <w:tcW w:w="538" w:type="dxa"/>
            <w:tcBorders>
              <w:top w:val="single" w:color="auto" w:sz="6" w:space="0"/>
              <w:left w:val="single" w:color="auto" w:sz="6" w:space="0"/>
              <w:bottom w:val="single" w:color="auto" w:sz="12" w:space="0"/>
              <w:right w:val="single" w:color="auto" w:sz="6" w:space="0"/>
            </w:tcBorders>
            <w:shd w:val="clear" w:color="auto" w:fill="auto"/>
            <w:noWrap/>
            <w:tcMar>
              <w:top w:w="0" w:type="dxa"/>
              <w:bottom w:w="0" w:type="dxa"/>
            </w:tcMar>
            <w:vAlign w:val="center"/>
          </w:tcPr>
          <w:p>
            <w:pPr>
              <w:spacing w:line="360" w:lineRule="auto"/>
              <w:rPr>
                <w:kern w:val="0"/>
                <w:sz w:val="20"/>
                <w:szCs w:val="20"/>
              </w:rPr>
            </w:pPr>
          </w:p>
        </w:tc>
        <w:tc>
          <w:tcPr>
            <w:tcW w:w="484" w:type="dxa"/>
            <w:tcBorders>
              <w:top w:val="single" w:color="auto" w:sz="6" w:space="0"/>
              <w:left w:val="single" w:color="auto" w:sz="6" w:space="0"/>
              <w:bottom w:val="single" w:color="auto" w:sz="12" w:space="0"/>
              <w:right w:val="single" w:color="auto" w:sz="6" w:space="0"/>
            </w:tcBorders>
            <w:shd w:val="clear" w:color="auto" w:fill="auto"/>
            <w:noWrap/>
            <w:tcMar>
              <w:top w:w="0" w:type="dxa"/>
              <w:left w:w="105" w:type="dxa"/>
              <w:bottom w:w="0" w:type="dxa"/>
              <w:right w:w="105" w:type="dxa"/>
            </w:tcMar>
            <w:vAlign w:val="center"/>
          </w:tcPr>
          <w:p>
            <w:pPr>
              <w:widowControl/>
              <w:rPr>
                <w:rFonts w:ascii="仿宋_GB2312" w:eastAsia="仿宋_GB2312" w:cs="仿宋_GB2312"/>
                <w:color w:val="1D1B1C"/>
                <w:sz w:val="18"/>
                <w:szCs w:val="18"/>
              </w:rPr>
            </w:pPr>
            <w:r>
              <w:rPr>
                <w:rFonts w:hint="eastAsia"/>
                <w:color w:val="1D1B1C"/>
                <w:sz w:val="18"/>
                <w:szCs w:val="18"/>
              </w:rPr>
              <w:t>1</w:t>
            </w:r>
            <w:r>
              <w:rPr>
                <w:color w:val="1D1B1C"/>
                <w:sz w:val="18"/>
                <w:szCs w:val="18"/>
              </w:rPr>
              <w:t>28</w:t>
            </w:r>
          </w:p>
        </w:tc>
        <w:tc>
          <w:tcPr>
            <w:tcW w:w="1408" w:type="dxa"/>
            <w:tcBorders>
              <w:top w:val="single" w:color="auto" w:sz="6" w:space="0"/>
              <w:left w:val="single" w:color="auto" w:sz="6" w:space="0"/>
              <w:bottom w:val="single" w:color="auto" w:sz="12" w:space="0"/>
              <w:right w:val="single" w:color="auto" w:sz="6" w:space="0"/>
            </w:tcBorders>
            <w:shd w:val="clear" w:color="auto" w:fill="auto"/>
            <w:noWrap/>
            <w:tcMar>
              <w:top w:w="0" w:type="dxa"/>
              <w:left w:w="105" w:type="dxa"/>
              <w:bottom w:w="0" w:type="dxa"/>
              <w:right w:w="105" w:type="dxa"/>
            </w:tcMar>
            <w:vAlign w:val="center"/>
          </w:tcPr>
          <w:p>
            <w:pPr>
              <w:widowControl/>
              <w:rPr>
                <w:rFonts w:ascii="仿宋_GB2312" w:eastAsia="仿宋_GB2312" w:cs="仿宋_GB2312"/>
                <w:color w:val="1D1B1C"/>
                <w:sz w:val="18"/>
                <w:szCs w:val="18"/>
              </w:rPr>
            </w:pPr>
          </w:p>
        </w:tc>
        <w:tc>
          <w:tcPr>
            <w:tcW w:w="516" w:type="dxa"/>
            <w:tcBorders>
              <w:top w:val="single" w:color="auto" w:sz="6" w:space="0"/>
              <w:left w:val="single" w:color="auto" w:sz="6" w:space="0"/>
              <w:bottom w:val="single" w:color="auto" w:sz="12" w:space="0"/>
              <w:right w:val="single" w:color="auto" w:sz="12" w:space="0"/>
            </w:tcBorders>
            <w:shd w:val="clear" w:color="auto" w:fill="auto"/>
            <w:noWrap/>
            <w:tcMar>
              <w:top w:w="0" w:type="dxa"/>
              <w:bottom w:w="0" w:type="dxa"/>
            </w:tcMar>
            <w:vAlign w:val="center"/>
          </w:tcPr>
          <w:p>
            <w:pPr>
              <w:widowControl/>
              <w:rPr>
                <w:rFonts w:ascii="仿宋_GB2312" w:eastAsia="仿宋_GB2312" w:cs="仿宋_GB2312"/>
                <w:color w:val="1D1B1C"/>
                <w:sz w:val="18"/>
                <w:szCs w:val="18"/>
              </w:rPr>
            </w:pPr>
          </w:p>
        </w:tc>
      </w:tr>
    </w:tbl>
    <w:p>
      <w:pPr>
        <w:pStyle w:val="4"/>
        <w:widowControl/>
        <w:spacing w:beforeAutospacing="0" w:afterAutospacing="0" w:line="555" w:lineRule="atLeast"/>
        <w:ind w:firstLine="645"/>
        <w:jc w:val="both"/>
        <w:rPr>
          <w:rFonts w:ascii="仿宋_GB2312" w:eastAsia="仿宋_GB2312" w:cs="仿宋_GB2312"/>
          <w:b/>
          <w:bCs/>
          <w:color w:val="1D1B1C"/>
          <w:sz w:val="32"/>
          <w:szCs w:val="32"/>
        </w:rPr>
      </w:pPr>
      <w:r>
        <w:rPr>
          <w:rFonts w:hint="eastAsia" w:ascii="仿宋_GB2312" w:eastAsia="仿宋_GB2312" w:cs="仿宋_GB2312"/>
          <w:b/>
          <w:bCs/>
          <w:color w:val="1D1B1C"/>
          <w:sz w:val="32"/>
          <w:szCs w:val="32"/>
          <w:shd w:val="clear" w:color="auto" w:fill="FFFFFF"/>
        </w:rPr>
        <w:t>六、选拔要求与程序</w:t>
      </w:r>
    </w:p>
    <w:p>
      <w:pPr>
        <w:pStyle w:val="4"/>
        <w:widowControl/>
        <w:spacing w:beforeAutospacing="0" w:afterAutospacing="0" w:line="555" w:lineRule="atLeast"/>
        <w:ind w:firstLine="560" w:firstLineChars="200"/>
        <w:jc w:val="both"/>
        <w:rPr>
          <w:rFonts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选拔要求：喜欢大自然，对人与自然和谐共生理念感兴趣，想了解武夷山国家公园保护、建设和管理事务或立志从事自然保护区相关工作，能处理和主专业课程的冲突，有热情，有执行力。</w:t>
      </w:r>
    </w:p>
    <w:p>
      <w:pPr>
        <w:pStyle w:val="4"/>
        <w:widowControl/>
        <w:spacing w:beforeAutospacing="0" w:afterAutospacing="0" w:line="555" w:lineRule="atLeast"/>
        <w:ind w:firstLine="560" w:firstLineChars="200"/>
        <w:jc w:val="both"/>
        <w:rPr>
          <w:rFonts w:hint="eastAsia"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选拔程序：遵循自愿原则，提交申请表报名，材料真实，符合修读要求者即可入选，请于9月20日20:00之前完成报名。</w:t>
      </w:r>
    </w:p>
    <w:p>
      <w:pPr>
        <w:pStyle w:val="4"/>
        <w:widowControl/>
        <w:spacing w:beforeAutospacing="0" w:afterAutospacing="0" w:line="555" w:lineRule="atLeast"/>
        <w:ind w:left="645"/>
        <w:jc w:val="both"/>
        <w:rPr>
          <w:rFonts w:ascii="仿宋_GB2312" w:eastAsia="仿宋_GB2312" w:cs="仿宋_GB2312"/>
          <w:b/>
          <w:bCs/>
          <w:color w:val="1D1B1C"/>
          <w:sz w:val="32"/>
          <w:szCs w:val="32"/>
          <w:shd w:val="clear" w:color="auto" w:fill="FFFFFF"/>
        </w:rPr>
      </w:pPr>
      <w:r>
        <w:rPr>
          <w:rFonts w:hint="eastAsia" w:ascii="仿宋_GB2312" w:eastAsia="仿宋_GB2312" w:cs="仿宋_GB2312"/>
          <w:b/>
          <w:bCs/>
          <w:color w:val="1D1B1C"/>
          <w:sz w:val="32"/>
          <w:szCs w:val="32"/>
          <w:shd w:val="clear" w:color="auto" w:fill="FFFFFF"/>
        </w:rPr>
        <w:t>七、咨询及报名方法</w:t>
      </w:r>
    </w:p>
    <w:p>
      <w:pPr>
        <w:pStyle w:val="4"/>
        <w:widowControl/>
        <w:spacing w:beforeAutospacing="0" w:afterAutospacing="0" w:line="555" w:lineRule="atLeast"/>
        <w:ind w:firstLine="560" w:firstLineChars="200"/>
        <w:jc w:val="both"/>
        <w:rPr>
          <w:rFonts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1</w:t>
      </w:r>
      <w:r>
        <w:rPr>
          <w:rFonts w:ascii="仿宋_GB2312" w:eastAsia="仿宋_GB2312" w:cs="仿宋_GB2312"/>
          <w:color w:val="1D1B1C"/>
          <w:sz w:val="28"/>
          <w:szCs w:val="28"/>
          <w:shd w:val="clear" w:color="auto" w:fill="FFFFFF"/>
        </w:rPr>
        <w:t>.</w:t>
      </w:r>
      <w:r>
        <w:rPr>
          <w:rFonts w:hint="eastAsia" w:ascii="仿宋_GB2312" w:eastAsia="仿宋_GB2312" w:cs="仿宋_GB2312"/>
          <w:color w:val="1D1B1C"/>
          <w:sz w:val="28"/>
          <w:szCs w:val="28"/>
          <w:shd w:val="clear" w:color="auto" w:fill="FFFFFF"/>
        </w:rPr>
        <w:t>进入微专业报名咨询群，QQ群号：8</w:t>
      </w:r>
      <w:r>
        <w:rPr>
          <w:rFonts w:ascii="仿宋_GB2312" w:eastAsia="仿宋_GB2312" w:cs="仿宋_GB2312"/>
          <w:color w:val="1D1B1C"/>
          <w:sz w:val="28"/>
          <w:szCs w:val="28"/>
          <w:shd w:val="clear" w:color="auto" w:fill="FFFFFF"/>
        </w:rPr>
        <w:t>31639694</w:t>
      </w:r>
      <w:r>
        <w:rPr>
          <w:rFonts w:hint="eastAsia" w:ascii="仿宋_GB2312" w:eastAsia="仿宋_GB2312" w:cs="仿宋_GB2312"/>
          <w:color w:val="1D1B1C"/>
          <w:sz w:val="28"/>
          <w:szCs w:val="28"/>
          <w:shd w:val="clear" w:color="auto" w:fill="FFFFFF"/>
        </w:rPr>
        <w:t>，QQ群文件中下载报名表（如有问题可在QQ群内咨询）。</w:t>
      </w:r>
    </w:p>
    <w:p>
      <w:pPr>
        <w:pStyle w:val="4"/>
        <w:widowControl/>
        <w:spacing w:beforeAutospacing="0" w:afterAutospacing="0" w:line="555" w:lineRule="atLeast"/>
        <w:ind w:left="645"/>
        <w:jc w:val="center"/>
        <w:rPr>
          <w:rFonts w:ascii="仿宋_GB2312" w:eastAsia="仿宋_GB2312" w:cs="仿宋_GB2312"/>
          <w:color w:val="1D1B1C"/>
          <w:sz w:val="28"/>
          <w:szCs w:val="28"/>
          <w:shd w:val="clear" w:color="auto" w:fill="FFFFFF"/>
        </w:rPr>
      </w:pPr>
      <w:r>
        <w:drawing>
          <wp:inline distT="0" distB="0" distL="0" distR="0">
            <wp:extent cx="1499870" cy="1905000"/>
            <wp:effectExtent l="0" t="0" r="5080" b="0"/>
            <wp:docPr id="160377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7716" name="图片 1"/>
                    <pic:cNvPicPr>
                      <a:picLocks noChangeAspect="1"/>
                    </pic:cNvPicPr>
                  </pic:nvPicPr>
                  <pic:blipFill>
                    <a:blip r:embed="rId4"/>
                    <a:stretch>
                      <a:fillRect/>
                    </a:stretch>
                  </pic:blipFill>
                  <pic:spPr>
                    <a:xfrm>
                      <a:off x="0" y="0"/>
                      <a:ext cx="1531787" cy="1944770"/>
                    </a:xfrm>
                    <a:prstGeom prst="rect">
                      <a:avLst/>
                    </a:prstGeom>
                  </pic:spPr>
                </pic:pic>
              </a:graphicData>
            </a:graphic>
          </wp:inline>
        </w:drawing>
      </w:r>
    </w:p>
    <w:p>
      <w:pPr>
        <w:pStyle w:val="4"/>
        <w:widowControl/>
        <w:spacing w:beforeAutospacing="0" w:afterAutospacing="0" w:line="555" w:lineRule="atLeast"/>
        <w:ind w:firstLine="560" w:firstLineChars="200"/>
        <w:jc w:val="both"/>
        <w:rPr>
          <w:rFonts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2</w:t>
      </w:r>
      <w:r>
        <w:rPr>
          <w:rFonts w:ascii="仿宋_GB2312" w:eastAsia="仿宋_GB2312" w:cs="仿宋_GB2312"/>
          <w:color w:val="1D1B1C"/>
          <w:sz w:val="28"/>
          <w:szCs w:val="28"/>
          <w:shd w:val="clear" w:color="auto" w:fill="FFFFFF"/>
        </w:rPr>
        <w:t>.</w:t>
      </w:r>
      <w:r>
        <w:rPr>
          <w:rFonts w:hint="eastAsia" w:ascii="仿宋_GB2312" w:eastAsia="仿宋_GB2312" w:cs="仿宋_GB2312"/>
          <w:color w:val="1D1B1C"/>
          <w:sz w:val="28"/>
          <w:szCs w:val="28"/>
          <w:shd w:val="clear" w:color="auto" w:fill="FFFFFF"/>
        </w:rPr>
        <w:t>可前往瑞樟4号楼4</w:t>
      </w:r>
      <w:r>
        <w:rPr>
          <w:rFonts w:ascii="仿宋_GB2312" w:eastAsia="仿宋_GB2312" w:cs="仿宋_GB2312"/>
          <w:color w:val="1D1B1C"/>
          <w:sz w:val="28"/>
          <w:szCs w:val="28"/>
          <w:shd w:val="clear" w:color="auto" w:fill="FFFFFF"/>
        </w:rPr>
        <w:t>05</w:t>
      </w:r>
      <w:r>
        <w:rPr>
          <w:rFonts w:hint="eastAsia" w:ascii="仿宋_GB2312" w:eastAsia="仿宋_GB2312" w:cs="仿宋_GB2312"/>
          <w:color w:val="1D1B1C"/>
          <w:sz w:val="28"/>
          <w:szCs w:val="28"/>
          <w:shd w:val="clear" w:color="auto" w:fill="FFFFFF"/>
        </w:rPr>
        <w:t>室生态与资源</w:t>
      </w:r>
      <w:r>
        <w:rPr>
          <w:rFonts w:hint="eastAsia" w:ascii="仿宋_GB2312" w:eastAsia="仿宋_GB2312" w:cs="仿宋_GB2312"/>
          <w:color w:val="1D1B1C"/>
          <w:sz w:val="28"/>
          <w:szCs w:val="28"/>
          <w:shd w:val="clear" w:color="auto" w:fill="FFFFFF"/>
          <w:lang w:eastAsia="zh-CN"/>
        </w:rPr>
        <w:t>工程</w:t>
      </w:r>
      <w:bookmarkStart w:id="0" w:name="_GoBack"/>
      <w:bookmarkEnd w:id="0"/>
      <w:r>
        <w:rPr>
          <w:rFonts w:hint="eastAsia" w:ascii="仿宋_GB2312" w:eastAsia="仿宋_GB2312" w:cs="仿宋_GB2312"/>
          <w:color w:val="1D1B1C"/>
          <w:sz w:val="28"/>
          <w:szCs w:val="28"/>
          <w:shd w:val="clear" w:color="auto" w:fill="FFFFFF"/>
        </w:rPr>
        <w:t>学院教科办或者瑞樟4号楼</w:t>
      </w:r>
      <w:r>
        <w:rPr>
          <w:rFonts w:ascii="仿宋_GB2312" w:eastAsia="仿宋_GB2312" w:cs="仿宋_GB2312"/>
          <w:color w:val="1D1B1C"/>
          <w:sz w:val="28"/>
          <w:szCs w:val="28"/>
          <w:shd w:val="clear" w:color="auto" w:fill="FFFFFF"/>
        </w:rPr>
        <w:t>303</w:t>
      </w:r>
      <w:r>
        <w:rPr>
          <w:rFonts w:hint="eastAsia" w:ascii="仿宋_GB2312" w:eastAsia="仿宋_GB2312" w:cs="仿宋_GB2312"/>
          <w:color w:val="1D1B1C"/>
          <w:sz w:val="28"/>
          <w:szCs w:val="28"/>
          <w:shd w:val="clear" w:color="auto" w:fill="FFFFFF"/>
        </w:rPr>
        <w:t>室环境生态工程教研室报名咨询；</w:t>
      </w:r>
    </w:p>
    <w:p>
      <w:pPr>
        <w:pStyle w:val="4"/>
        <w:widowControl/>
        <w:spacing w:beforeAutospacing="0" w:afterAutospacing="0" w:line="555" w:lineRule="atLeast"/>
        <w:ind w:left="645"/>
        <w:jc w:val="both"/>
        <w:rPr>
          <w:rFonts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联系方式：1</w:t>
      </w:r>
      <w:r>
        <w:rPr>
          <w:rFonts w:ascii="仿宋_GB2312" w:eastAsia="仿宋_GB2312" w:cs="仿宋_GB2312"/>
          <w:color w:val="1D1B1C"/>
          <w:sz w:val="28"/>
          <w:szCs w:val="28"/>
          <w:shd w:val="clear" w:color="auto" w:fill="FFFFFF"/>
        </w:rPr>
        <w:t>9359316217</w:t>
      </w:r>
      <w:r>
        <w:rPr>
          <w:rFonts w:hint="eastAsia" w:ascii="仿宋_GB2312" w:eastAsia="仿宋_GB2312" w:cs="仿宋_GB2312"/>
          <w:color w:val="1D1B1C"/>
          <w:sz w:val="28"/>
          <w:szCs w:val="28"/>
          <w:shd w:val="clear" w:color="auto" w:fill="FFFFFF"/>
        </w:rPr>
        <w:t>，</w:t>
      </w:r>
      <w:r>
        <w:fldChar w:fldCharType="begin"/>
      </w:r>
      <w:r>
        <w:instrText xml:space="preserve"> HYPERLINK "mailto:邮箱835518676@qq.com" </w:instrText>
      </w:r>
      <w:r>
        <w:fldChar w:fldCharType="separate"/>
      </w:r>
      <w:r>
        <w:rPr>
          <w:rStyle w:val="8"/>
          <w:rFonts w:hint="eastAsia" w:ascii="仿宋_GB2312" w:eastAsia="仿宋_GB2312" w:cs="仿宋_GB2312"/>
          <w:sz w:val="28"/>
          <w:szCs w:val="28"/>
          <w:shd w:val="clear" w:color="auto" w:fill="FFFFFF"/>
        </w:rPr>
        <w:t>邮箱8</w:t>
      </w:r>
      <w:r>
        <w:rPr>
          <w:rStyle w:val="8"/>
          <w:rFonts w:ascii="仿宋_GB2312" w:eastAsia="仿宋_GB2312" w:cs="仿宋_GB2312"/>
          <w:sz w:val="28"/>
          <w:szCs w:val="28"/>
          <w:shd w:val="clear" w:color="auto" w:fill="FFFFFF"/>
        </w:rPr>
        <w:t>35518676@qq.com</w:t>
      </w:r>
      <w:r>
        <w:rPr>
          <w:rStyle w:val="8"/>
          <w:rFonts w:ascii="仿宋_GB2312" w:eastAsia="仿宋_GB2312" w:cs="仿宋_GB2312"/>
          <w:sz w:val="28"/>
          <w:szCs w:val="28"/>
          <w:shd w:val="clear" w:color="auto" w:fill="FFFFFF"/>
        </w:rPr>
        <w:fldChar w:fldCharType="end"/>
      </w:r>
      <w:r>
        <w:rPr>
          <w:rFonts w:hint="eastAsia" w:ascii="仿宋_GB2312" w:eastAsia="仿宋_GB2312" w:cs="仿宋_GB2312"/>
          <w:color w:val="1D1B1C"/>
          <w:sz w:val="28"/>
          <w:szCs w:val="28"/>
          <w:shd w:val="clear" w:color="auto" w:fill="FFFFFF"/>
        </w:rPr>
        <w:t>（纪老师）；</w:t>
      </w:r>
    </w:p>
    <w:p>
      <w:pPr>
        <w:pStyle w:val="4"/>
        <w:widowControl/>
        <w:spacing w:beforeAutospacing="0" w:afterAutospacing="0" w:line="555" w:lineRule="atLeast"/>
        <w:ind w:firstLine="643" w:firstLineChars="200"/>
        <w:jc w:val="both"/>
        <w:rPr>
          <w:rFonts w:ascii="仿宋_GB2312" w:eastAsia="仿宋_GB2312" w:cs="仿宋_GB2312"/>
          <w:b/>
          <w:bCs/>
          <w:color w:val="1D1B1C"/>
          <w:sz w:val="32"/>
          <w:szCs w:val="32"/>
          <w:shd w:val="clear" w:color="auto" w:fill="FFFFFF"/>
        </w:rPr>
      </w:pPr>
      <w:r>
        <w:rPr>
          <w:rFonts w:hint="eastAsia" w:ascii="仿宋_GB2312" w:eastAsia="仿宋_GB2312" w:cs="仿宋_GB2312"/>
          <w:b/>
          <w:bCs/>
          <w:color w:val="1D1B1C"/>
          <w:sz w:val="32"/>
          <w:szCs w:val="32"/>
          <w:shd w:val="clear" w:color="auto" w:fill="FFFFFF"/>
        </w:rPr>
        <w:t>八、专业野外实践掠影</w:t>
      </w:r>
    </w:p>
    <w:p>
      <w:pPr>
        <w:pStyle w:val="4"/>
        <w:widowControl/>
        <w:spacing w:beforeAutospacing="0" w:afterAutospacing="0" w:line="555" w:lineRule="atLeast"/>
        <w:jc w:val="center"/>
        <w:rPr>
          <w:rFonts w:ascii="仿宋_GB2312" w:eastAsia="仿宋_GB2312" w:cs="仿宋_GB2312"/>
          <w:b/>
          <w:bCs/>
          <w:color w:val="1D1B1C"/>
          <w:sz w:val="32"/>
          <w:szCs w:val="32"/>
          <w:shd w:val="clear" w:color="auto" w:fill="FFFFFF"/>
        </w:rPr>
      </w:pPr>
    </w:p>
    <w:p>
      <w:pPr>
        <w:pStyle w:val="4"/>
        <w:widowControl/>
        <w:spacing w:beforeAutospacing="0" w:afterAutospacing="0" w:line="555" w:lineRule="atLeast"/>
        <w:ind w:firstLine="240" w:firstLineChars="100"/>
        <w:jc w:val="center"/>
        <w:rPr>
          <w:rFonts w:ascii="仿宋_GB2312" w:eastAsia="仿宋_GB2312" w:cs="仿宋_GB2312"/>
          <w:color w:val="1D1B1C"/>
          <w:sz w:val="28"/>
          <w:szCs w:val="28"/>
          <w:shd w:val="clear" w:color="auto" w:fill="FFFFFF"/>
        </w:rPr>
      </w:pPr>
      <w:r>
        <w:drawing>
          <wp:inline distT="0" distB="0" distL="0" distR="0">
            <wp:extent cx="5013960" cy="3760470"/>
            <wp:effectExtent l="0" t="0" r="0" b="0"/>
            <wp:docPr id="23498317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983171" name="图片 9"/>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5021420" cy="3766367"/>
                    </a:xfrm>
                    <a:prstGeom prst="rect">
                      <a:avLst/>
                    </a:prstGeom>
                    <a:noFill/>
                    <a:ln>
                      <a:noFill/>
                    </a:ln>
                  </pic:spPr>
                </pic:pic>
              </a:graphicData>
            </a:graphic>
          </wp:inline>
        </w:drawing>
      </w:r>
    </w:p>
    <w:p>
      <w:pPr>
        <w:pStyle w:val="4"/>
        <w:widowControl/>
        <w:spacing w:beforeAutospacing="0" w:afterAutospacing="0" w:line="555" w:lineRule="atLeast"/>
        <w:ind w:firstLine="280" w:firstLineChars="100"/>
        <w:jc w:val="center"/>
        <w:rPr>
          <w:rFonts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武夷山国家公园水环境质量调查</w:t>
      </w:r>
    </w:p>
    <w:p>
      <w:pPr>
        <w:pStyle w:val="4"/>
        <w:widowControl/>
        <w:spacing w:beforeAutospacing="0" w:afterAutospacing="0" w:line="555" w:lineRule="atLeast"/>
        <w:ind w:firstLine="240" w:firstLineChars="100"/>
        <w:jc w:val="center"/>
        <w:rPr>
          <w:rFonts w:ascii="仿宋_GB2312" w:eastAsia="仿宋_GB2312" w:cs="仿宋_GB2312"/>
          <w:color w:val="1D1B1C"/>
          <w:sz w:val="28"/>
          <w:szCs w:val="28"/>
          <w:shd w:val="clear" w:color="auto" w:fill="FFFFFF"/>
        </w:rPr>
      </w:pPr>
      <w:r>
        <w:drawing>
          <wp:inline distT="0" distB="0" distL="0" distR="0">
            <wp:extent cx="5020310" cy="3765550"/>
            <wp:effectExtent l="0" t="0" r="8890" b="6350"/>
            <wp:docPr id="7404443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444310" name="图片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5026489" cy="3770170"/>
                    </a:xfrm>
                    <a:prstGeom prst="rect">
                      <a:avLst/>
                    </a:prstGeom>
                    <a:noFill/>
                    <a:ln>
                      <a:noFill/>
                    </a:ln>
                  </pic:spPr>
                </pic:pic>
              </a:graphicData>
            </a:graphic>
          </wp:inline>
        </w:drawing>
      </w:r>
    </w:p>
    <w:p>
      <w:pPr>
        <w:pStyle w:val="4"/>
        <w:widowControl/>
        <w:spacing w:beforeAutospacing="0" w:afterAutospacing="0" w:line="555" w:lineRule="atLeast"/>
        <w:ind w:firstLine="280" w:firstLineChars="100"/>
        <w:jc w:val="center"/>
        <w:rPr>
          <w:rFonts w:hint="eastAsia"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环武夷山国家公园发展带自来水厂实践</w:t>
      </w:r>
    </w:p>
    <w:p>
      <w:pPr>
        <w:pStyle w:val="4"/>
        <w:widowControl/>
        <w:spacing w:beforeAutospacing="0" w:afterAutospacing="0" w:line="555" w:lineRule="atLeast"/>
        <w:ind w:firstLine="240" w:firstLineChars="100"/>
        <w:jc w:val="center"/>
        <w:rPr>
          <w:rFonts w:hint="eastAsia" w:ascii="仿宋_GB2312" w:eastAsia="仿宋_GB2312" w:cs="仿宋_GB2312"/>
          <w:color w:val="1D1B1C"/>
          <w:sz w:val="28"/>
          <w:szCs w:val="28"/>
          <w:shd w:val="clear" w:color="auto" w:fill="FFFFFF"/>
        </w:rPr>
      </w:pPr>
      <w:r>
        <w:drawing>
          <wp:inline distT="0" distB="0" distL="0" distR="0">
            <wp:extent cx="5044440" cy="3783330"/>
            <wp:effectExtent l="0" t="0" r="3810" b="7620"/>
            <wp:docPr id="60722008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220082" name="图片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5055583" cy="3791992"/>
                    </a:xfrm>
                    <a:prstGeom prst="rect">
                      <a:avLst/>
                    </a:prstGeom>
                    <a:noFill/>
                    <a:ln>
                      <a:noFill/>
                    </a:ln>
                  </pic:spPr>
                </pic:pic>
              </a:graphicData>
            </a:graphic>
          </wp:inline>
        </w:drawing>
      </w:r>
    </w:p>
    <w:p>
      <w:pPr>
        <w:pStyle w:val="4"/>
        <w:widowControl/>
        <w:spacing w:beforeAutospacing="0" w:afterAutospacing="0" w:line="555" w:lineRule="atLeast"/>
        <w:ind w:firstLine="280" w:firstLineChars="100"/>
        <w:jc w:val="center"/>
        <w:rPr>
          <w:rFonts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古村及古树群落考察</w:t>
      </w:r>
    </w:p>
    <w:p>
      <w:pPr>
        <w:pStyle w:val="4"/>
        <w:widowControl/>
        <w:spacing w:beforeAutospacing="0" w:afterAutospacing="0" w:line="555" w:lineRule="atLeast"/>
        <w:ind w:firstLine="240" w:firstLineChars="100"/>
        <w:jc w:val="center"/>
        <w:rPr>
          <w:rFonts w:ascii="仿宋_GB2312" w:eastAsia="仿宋_GB2312" w:cs="仿宋_GB2312"/>
          <w:color w:val="1D1B1C"/>
          <w:sz w:val="28"/>
          <w:szCs w:val="28"/>
          <w:shd w:val="clear" w:color="auto" w:fill="FFFFFF"/>
        </w:rPr>
      </w:pPr>
      <w:r>
        <w:drawing>
          <wp:inline distT="0" distB="0" distL="0" distR="0">
            <wp:extent cx="5006340" cy="3754755"/>
            <wp:effectExtent l="0" t="0" r="3810" b="0"/>
            <wp:docPr id="5090775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077529" name="图片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5018909" cy="3764483"/>
                    </a:xfrm>
                    <a:prstGeom prst="rect">
                      <a:avLst/>
                    </a:prstGeom>
                    <a:noFill/>
                    <a:ln>
                      <a:noFill/>
                    </a:ln>
                  </pic:spPr>
                </pic:pic>
              </a:graphicData>
            </a:graphic>
          </wp:inline>
        </w:drawing>
      </w:r>
    </w:p>
    <w:p>
      <w:pPr>
        <w:pStyle w:val="4"/>
        <w:widowControl/>
        <w:spacing w:beforeAutospacing="0" w:afterAutospacing="0" w:line="555" w:lineRule="atLeast"/>
        <w:ind w:firstLine="280" w:firstLineChars="100"/>
        <w:jc w:val="center"/>
        <w:rPr>
          <w:rFonts w:hint="eastAsia"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野生动植物标本学习实践</w:t>
      </w:r>
    </w:p>
    <w:p>
      <w:pPr>
        <w:pStyle w:val="4"/>
        <w:widowControl/>
        <w:spacing w:beforeAutospacing="0" w:afterAutospacing="0" w:line="555" w:lineRule="atLeast"/>
        <w:ind w:firstLine="240" w:firstLineChars="100"/>
        <w:jc w:val="center"/>
        <w:rPr>
          <w:rFonts w:hint="eastAsia" w:ascii="仿宋_GB2312" w:eastAsia="仿宋_GB2312" w:cs="仿宋_GB2312"/>
          <w:color w:val="1D1B1C"/>
          <w:sz w:val="28"/>
          <w:szCs w:val="28"/>
          <w:shd w:val="clear" w:color="auto" w:fill="FFFFFF"/>
        </w:rPr>
      </w:pPr>
      <w:r>
        <w:drawing>
          <wp:inline distT="0" distB="0" distL="0" distR="0">
            <wp:extent cx="5045710" cy="3785235"/>
            <wp:effectExtent l="0" t="0" r="2540" b="5715"/>
            <wp:docPr id="10388907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890730" name="图片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054837" cy="3792040"/>
                    </a:xfrm>
                    <a:prstGeom prst="rect">
                      <a:avLst/>
                    </a:prstGeom>
                    <a:noFill/>
                    <a:ln>
                      <a:noFill/>
                    </a:ln>
                  </pic:spPr>
                </pic:pic>
              </a:graphicData>
            </a:graphic>
          </wp:inline>
        </w:drawing>
      </w:r>
    </w:p>
    <w:p>
      <w:pPr>
        <w:pStyle w:val="4"/>
        <w:widowControl/>
        <w:spacing w:beforeAutospacing="0" w:afterAutospacing="0" w:line="555" w:lineRule="atLeast"/>
        <w:ind w:firstLine="280" w:firstLineChars="100"/>
        <w:jc w:val="center"/>
        <w:rPr>
          <w:rFonts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环武夷山国家公园发展带田园综合体考察</w:t>
      </w:r>
    </w:p>
    <w:p>
      <w:pPr>
        <w:pStyle w:val="4"/>
        <w:widowControl/>
        <w:spacing w:beforeAutospacing="0" w:afterAutospacing="0" w:line="555" w:lineRule="atLeast"/>
        <w:ind w:firstLine="280" w:firstLineChars="100"/>
        <w:jc w:val="center"/>
        <w:rPr>
          <w:rFonts w:ascii="仿宋_GB2312" w:eastAsia="仿宋_GB2312" w:cs="仿宋_GB2312"/>
          <w:color w:val="1D1B1C"/>
          <w:sz w:val="28"/>
          <w:szCs w:val="28"/>
          <w:shd w:val="clear" w:color="auto" w:fill="FFFFFF"/>
        </w:rPr>
      </w:pPr>
    </w:p>
    <w:p>
      <w:pPr>
        <w:pStyle w:val="4"/>
        <w:widowControl/>
        <w:spacing w:beforeAutospacing="0" w:afterAutospacing="0" w:line="555" w:lineRule="atLeast"/>
        <w:ind w:firstLine="240" w:firstLineChars="100"/>
        <w:jc w:val="center"/>
        <w:rPr>
          <w:rFonts w:ascii="仿宋_GB2312" w:eastAsia="仿宋_GB2312" w:cs="仿宋_GB2312"/>
          <w:color w:val="1D1B1C"/>
          <w:sz w:val="28"/>
          <w:szCs w:val="28"/>
          <w:shd w:val="clear" w:color="auto" w:fill="FFFFFF"/>
        </w:rPr>
      </w:pPr>
      <w:r>
        <w:drawing>
          <wp:inline distT="0" distB="0" distL="0" distR="0">
            <wp:extent cx="5038725" cy="3779520"/>
            <wp:effectExtent l="0" t="0" r="9525" b="0"/>
            <wp:docPr id="176633978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6339788" name="图片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042818" cy="3782417"/>
                    </a:xfrm>
                    <a:prstGeom prst="rect">
                      <a:avLst/>
                    </a:prstGeom>
                    <a:noFill/>
                    <a:ln>
                      <a:noFill/>
                    </a:ln>
                  </pic:spPr>
                </pic:pic>
              </a:graphicData>
            </a:graphic>
          </wp:inline>
        </w:drawing>
      </w:r>
    </w:p>
    <w:p>
      <w:pPr>
        <w:pStyle w:val="4"/>
        <w:widowControl/>
        <w:spacing w:beforeAutospacing="0" w:afterAutospacing="0" w:line="555" w:lineRule="atLeast"/>
        <w:ind w:firstLine="280" w:firstLineChars="100"/>
        <w:jc w:val="center"/>
        <w:rPr>
          <w:rFonts w:hint="eastAsia"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武夷山市域生态产品价值实现核算实践</w:t>
      </w:r>
    </w:p>
    <w:p>
      <w:pPr>
        <w:pStyle w:val="4"/>
        <w:widowControl/>
        <w:spacing w:beforeAutospacing="0" w:afterAutospacing="0" w:line="555" w:lineRule="atLeast"/>
        <w:ind w:firstLine="240" w:firstLineChars="100"/>
        <w:jc w:val="center"/>
      </w:pPr>
      <w:r>
        <w:drawing>
          <wp:inline distT="0" distB="0" distL="0" distR="0">
            <wp:extent cx="5044440" cy="3783330"/>
            <wp:effectExtent l="0" t="0" r="3810" b="7620"/>
            <wp:docPr id="29372772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727720" name="图片 1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067980" cy="3801290"/>
                    </a:xfrm>
                    <a:prstGeom prst="rect">
                      <a:avLst/>
                    </a:prstGeom>
                    <a:noFill/>
                    <a:ln>
                      <a:noFill/>
                    </a:ln>
                  </pic:spPr>
                </pic:pic>
              </a:graphicData>
            </a:graphic>
          </wp:inline>
        </w:drawing>
      </w:r>
    </w:p>
    <w:p>
      <w:pPr>
        <w:pStyle w:val="4"/>
        <w:widowControl/>
        <w:spacing w:beforeAutospacing="0" w:afterAutospacing="0" w:line="555" w:lineRule="atLeast"/>
        <w:ind w:firstLine="240" w:firstLineChars="100"/>
        <w:jc w:val="center"/>
        <w:rPr>
          <w:rFonts w:hint="eastAsia" w:ascii="仿宋_GB2312" w:eastAsia="仿宋_GB2312" w:cs="仿宋_GB2312"/>
          <w:color w:val="1D1B1C"/>
          <w:sz w:val="28"/>
          <w:szCs w:val="28"/>
          <w:shd w:val="clear" w:color="auto" w:fill="FFFFFF"/>
        </w:rPr>
      </w:pPr>
      <w:r>
        <w:tab/>
      </w:r>
      <w:r>
        <w:rPr>
          <w:rFonts w:hint="eastAsia" w:ascii="仿宋_GB2312" w:eastAsia="仿宋_GB2312" w:cs="仿宋_GB2312"/>
          <w:color w:val="1D1B1C"/>
          <w:sz w:val="28"/>
          <w:szCs w:val="28"/>
          <w:shd w:val="clear" w:color="auto" w:fill="FFFFFF"/>
        </w:rPr>
        <w:t>参加国家公园保护与发展学术论坛</w:t>
      </w:r>
    </w:p>
    <w:p>
      <w:pPr>
        <w:jc w:val="center"/>
        <w:rPr>
          <w:rFonts w:ascii="仿宋_GB2312" w:eastAsia="仿宋_GB2312" w:cs="仿宋_GB2312"/>
          <w:color w:val="1D1B1C"/>
          <w:kern w:val="0"/>
          <w:sz w:val="28"/>
          <w:szCs w:val="28"/>
          <w:shd w:val="clear" w:color="auto" w:fill="FFFFFF"/>
        </w:rPr>
      </w:pPr>
      <w:r>
        <w:drawing>
          <wp:inline distT="0" distB="0" distL="0" distR="0">
            <wp:extent cx="5274310" cy="7032625"/>
            <wp:effectExtent l="0" t="0" r="2540" b="0"/>
            <wp:docPr id="193770647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706474" name="图片 1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274310" cy="7032625"/>
                    </a:xfrm>
                    <a:prstGeom prst="rect">
                      <a:avLst/>
                    </a:prstGeom>
                    <a:noFill/>
                    <a:ln>
                      <a:noFill/>
                    </a:ln>
                  </pic:spPr>
                </pic:pic>
              </a:graphicData>
            </a:graphic>
          </wp:inline>
        </w:drawing>
      </w:r>
    </w:p>
    <w:p>
      <w:pPr>
        <w:jc w:val="center"/>
        <w:rPr>
          <w:rFonts w:ascii="仿宋_GB2312" w:eastAsia="仿宋_GB2312" w:cs="仿宋_GB2312"/>
          <w:color w:val="1D1B1C"/>
          <w:kern w:val="0"/>
          <w:sz w:val="28"/>
          <w:szCs w:val="28"/>
          <w:shd w:val="clear" w:color="auto" w:fill="FFFFFF"/>
        </w:rPr>
      </w:pPr>
      <w:r>
        <w:rPr>
          <w:rFonts w:hint="eastAsia" w:ascii="仿宋_GB2312" w:eastAsia="仿宋_GB2312" w:cs="仿宋_GB2312"/>
          <w:color w:val="1D1B1C"/>
          <w:kern w:val="0"/>
          <w:sz w:val="28"/>
          <w:szCs w:val="28"/>
          <w:shd w:val="clear" w:color="auto" w:fill="FFFFFF"/>
        </w:rPr>
        <w:t>武夷山国家公园自然景观考察</w:t>
      </w:r>
    </w:p>
    <w:p/>
    <w:p>
      <w:pPr>
        <w:pStyle w:val="4"/>
        <w:widowControl/>
        <w:spacing w:beforeAutospacing="0" w:afterAutospacing="0" w:line="555" w:lineRule="atLeast"/>
        <w:ind w:firstLine="240" w:firstLineChars="100"/>
        <w:jc w:val="center"/>
        <w:rPr>
          <w:rFonts w:ascii="仿宋_GB2312" w:eastAsia="仿宋_GB2312" w:cs="仿宋_GB2312"/>
          <w:color w:val="1D1B1C"/>
          <w:sz w:val="28"/>
          <w:szCs w:val="28"/>
          <w:shd w:val="clear" w:color="auto" w:fill="FFFFFF"/>
        </w:rPr>
      </w:pPr>
      <w:r>
        <w:drawing>
          <wp:inline distT="0" distB="0" distL="0" distR="0">
            <wp:extent cx="5274310" cy="7032625"/>
            <wp:effectExtent l="0" t="0" r="2540" b="0"/>
            <wp:docPr id="75982864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828644" name="图片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274310" cy="7032625"/>
                    </a:xfrm>
                    <a:prstGeom prst="rect">
                      <a:avLst/>
                    </a:prstGeom>
                    <a:noFill/>
                    <a:ln>
                      <a:noFill/>
                    </a:ln>
                  </pic:spPr>
                </pic:pic>
              </a:graphicData>
            </a:graphic>
          </wp:inline>
        </w:drawing>
      </w:r>
    </w:p>
    <w:p>
      <w:pPr>
        <w:pStyle w:val="4"/>
        <w:widowControl/>
        <w:spacing w:beforeAutospacing="0" w:afterAutospacing="0" w:line="555" w:lineRule="atLeast"/>
        <w:ind w:firstLine="280" w:firstLineChars="100"/>
        <w:jc w:val="center"/>
        <w:rPr>
          <w:rFonts w:ascii="仿宋_GB2312" w:eastAsia="仿宋_GB2312" w:cs="仿宋_GB2312"/>
          <w:color w:val="1D1B1C"/>
          <w:sz w:val="28"/>
          <w:szCs w:val="28"/>
          <w:shd w:val="clear" w:color="auto" w:fill="FFFFFF"/>
        </w:rPr>
      </w:pPr>
      <w:r>
        <w:rPr>
          <w:rFonts w:hint="eastAsia" w:ascii="仿宋_GB2312" w:eastAsia="仿宋_GB2312" w:cs="仿宋_GB2312"/>
          <w:color w:val="1D1B1C"/>
          <w:sz w:val="28"/>
          <w:szCs w:val="28"/>
          <w:shd w:val="clear" w:color="auto" w:fill="FFFFFF"/>
        </w:rPr>
        <w:t>武夷山国家公园人文景观考察</w:t>
      </w:r>
    </w:p>
    <w:p>
      <w:pPr>
        <w:pStyle w:val="4"/>
        <w:widowControl/>
        <w:spacing w:beforeAutospacing="0" w:afterAutospacing="0" w:line="555" w:lineRule="atLeast"/>
        <w:jc w:val="both"/>
        <w:rPr>
          <w:rFonts w:hint="eastAsia" w:ascii="仿宋_GB2312" w:eastAsia="仿宋_GB2312" w:cs="仿宋_GB2312"/>
          <w:color w:val="1D1B1C"/>
          <w:sz w:val="28"/>
          <w:szCs w:val="28"/>
          <w:shd w:val="clear" w:color="auto" w:fill="FFFFFF"/>
        </w:rPr>
      </w:pPr>
    </w:p>
    <w:p>
      <w:pPr>
        <w:pStyle w:val="4"/>
        <w:widowControl/>
        <w:spacing w:beforeAutospacing="0" w:afterAutospacing="0" w:line="555" w:lineRule="atLeast"/>
        <w:ind w:firstLine="281" w:firstLineChars="100"/>
        <w:jc w:val="both"/>
        <w:rPr>
          <w:rFonts w:ascii="仿宋_GB2312" w:eastAsia="仿宋_GB2312" w:cs="仿宋_GB2312"/>
          <w:b/>
          <w:bCs/>
          <w:color w:val="1D1B1C"/>
          <w:sz w:val="28"/>
          <w:szCs w:val="28"/>
          <w:shd w:val="clear" w:color="auto" w:fill="FFFFFF"/>
        </w:rPr>
      </w:pPr>
      <w:r>
        <w:rPr>
          <w:rFonts w:hint="eastAsia" w:ascii="仿宋_GB2312" w:eastAsia="仿宋_GB2312" w:cs="仿宋_GB2312"/>
          <w:b/>
          <w:bCs/>
          <w:color w:val="1D1B1C"/>
          <w:sz w:val="28"/>
          <w:szCs w:val="28"/>
          <w:shd w:val="clear" w:color="auto" w:fill="FFFFFF"/>
        </w:rPr>
        <w:t>欢迎广大学子踊跃报名，与我们一道加入国家公园保护伟大事业！</w:t>
      </w:r>
    </w:p>
    <w:p>
      <w:pPr>
        <w:pStyle w:val="4"/>
        <w:widowControl/>
        <w:spacing w:beforeAutospacing="0" w:afterAutospacing="0" w:line="555" w:lineRule="atLeast"/>
        <w:ind w:firstLine="281" w:firstLineChars="100"/>
        <w:jc w:val="right"/>
        <w:rPr>
          <w:rFonts w:hint="eastAsia" w:ascii="仿宋_GB2312" w:eastAsia="仿宋_GB2312" w:cs="仿宋_GB2312"/>
          <w:b/>
          <w:bCs/>
          <w:color w:val="1D1B1C"/>
          <w:sz w:val="28"/>
          <w:szCs w:val="28"/>
          <w:shd w:val="clear" w:color="auto" w:fill="FFFFFF"/>
        </w:rPr>
      </w:pPr>
      <w:r>
        <w:rPr>
          <w:rFonts w:hint="eastAsia" w:ascii="仿宋_GB2312" w:eastAsia="仿宋_GB2312" w:cs="仿宋_GB2312"/>
          <w:b/>
          <w:bCs/>
          <w:color w:val="1D1B1C"/>
          <w:sz w:val="28"/>
          <w:szCs w:val="28"/>
          <w:shd w:val="clear" w:color="auto" w:fill="FFFFFF"/>
        </w:rPr>
        <w:t>2</w:t>
      </w:r>
      <w:r>
        <w:rPr>
          <w:rFonts w:ascii="仿宋_GB2312" w:eastAsia="仿宋_GB2312" w:cs="仿宋_GB2312"/>
          <w:b/>
          <w:bCs/>
          <w:color w:val="1D1B1C"/>
          <w:sz w:val="28"/>
          <w:szCs w:val="28"/>
          <w:shd w:val="clear" w:color="auto" w:fill="FFFFFF"/>
        </w:rPr>
        <w:t>023.09</w:t>
      </w:r>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7257BC1"/>
    <w:multiLevelType w:val="singleLevel"/>
    <w:tmpl w:val="97257BC1"/>
    <w:lvl w:ilvl="0" w:tentative="0">
      <w:start w:val="5"/>
      <w:numFmt w:val="chineseCounting"/>
      <w:suff w:val="nothing"/>
      <w:lvlText w:val="%1、"/>
      <w:lvlJc w:val="left"/>
      <w:pPr>
        <w:ind w:left="0" w:firstLine="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5"/>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k3NmU5YmE2YmFhOWNlOTA0ZjI5MTA3ZDlkMWNmYWYifQ=="/>
  </w:docVars>
  <w:rsids>
    <w:rsidRoot w:val="0009614F"/>
    <w:rsid w:val="00003D7F"/>
    <w:rsid w:val="00007D67"/>
    <w:rsid w:val="00055A8E"/>
    <w:rsid w:val="0005656D"/>
    <w:rsid w:val="0009614F"/>
    <w:rsid w:val="001102E1"/>
    <w:rsid w:val="00194B7C"/>
    <w:rsid w:val="001A4426"/>
    <w:rsid w:val="0022555D"/>
    <w:rsid w:val="0024668E"/>
    <w:rsid w:val="00255613"/>
    <w:rsid w:val="002D207A"/>
    <w:rsid w:val="002E00F4"/>
    <w:rsid w:val="002E0874"/>
    <w:rsid w:val="002E2785"/>
    <w:rsid w:val="002F0E88"/>
    <w:rsid w:val="002F1770"/>
    <w:rsid w:val="0030051F"/>
    <w:rsid w:val="003905C3"/>
    <w:rsid w:val="003D6C12"/>
    <w:rsid w:val="003E3F96"/>
    <w:rsid w:val="0045466E"/>
    <w:rsid w:val="0045761F"/>
    <w:rsid w:val="004B5B24"/>
    <w:rsid w:val="004D732F"/>
    <w:rsid w:val="0052251A"/>
    <w:rsid w:val="005245FF"/>
    <w:rsid w:val="00545096"/>
    <w:rsid w:val="00573B56"/>
    <w:rsid w:val="00577F9D"/>
    <w:rsid w:val="005A5374"/>
    <w:rsid w:val="00615188"/>
    <w:rsid w:val="00616F24"/>
    <w:rsid w:val="006C04F1"/>
    <w:rsid w:val="006D7DA9"/>
    <w:rsid w:val="00746D2D"/>
    <w:rsid w:val="007837AA"/>
    <w:rsid w:val="00785FDA"/>
    <w:rsid w:val="007A251F"/>
    <w:rsid w:val="007A7BD3"/>
    <w:rsid w:val="007E2C97"/>
    <w:rsid w:val="008D13E0"/>
    <w:rsid w:val="009B7D51"/>
    <w:rsid w:val="009D3CA3"/>
    <w:rsid w:val="00A3542F"/>
    <w:rsid w:val="00A962DA"/>
    <w:rsid w:val="00AA27C9"/>
    <w:rsid w:val="00AF4C13"/>
    <w:rsid w:val="00B13AFB"/>
    <w:rsid w:val="00B61484"/>
    <w:rsid w:val="00B81472"/>
    <w:rsid w:val="00C06D0C"/>
    <w:rsid w:val="00C077F4"/>
    <w:rsid w:val="00C17195"/>
    <w:rsid w:val="00CC1A5A"/>
    <w:rsid w:val="00D6176E"/>
    <w:rsid w:val="00DC11D3"/>
    <w:rsid w:val="00DF6FD1"/>
    <w:rsid w:val="00E308E6"/>
    <w:rsid w:val="00E708EA"/>
    <w:rsid w:val="00ED327E"/>
    <w:rsid w:val="00EE660C"/>
    <w:rsid w:val="00EF19A2"/>
    <w:rsid w:val="00EF740A"/>
    <w:rsid w:val="00F11E1B"/>
    <w:rsid w:val="00F13AFA"/>
    <w:rsid w:val="00F30EDF"/>
    <w:rsid w:val="00F61A17"/>
    <w:rsid w:val="00F92893"/>
    <w:rsid w:val="00FA5E48"/>
    <w:rsid w:val="06E9254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Arial"/>
      <w:kern w:val="2"/>
      <w:sz w:val="21"/>
      <w:szCs w:val="24"/>
      <w:lang w:val="en-US" w:eastAsia="zh-CN" w:bidi="ar-SA"/>
    </w:rPr>
  </w:style>
  <w:style w:type="character" w:default="1" w:styleId="6">
    <w:name w:val="Default Paragraph Font"/>
    <w:semiHidden/>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2">
    <w:name w:val="footer"/>
    <w:basedOn w:val="1"/>
    <w:link w:val="10"/>
    <w:unhideWhenUsed/>
    <w:uiPriority w:val="99"/>
    <w:pPr>
      <w:tabs>
        <w:tab w:val="center" w:pos="4153"/>
        <w:tab w:val="right" w:pos="8306"/>
      </w:tabs>
      <w:snapToGrid w:val="0"/>
      <w:jc w:val="left"/>
    </w:pPr>
    <w:rPr>
      <w:sz w:val="18"/>
      <w:szCs w:val="18"/>
    </w:rPr>
  </w:style>
  <w:style w:type="paragraph" w:styleId="3">
    <w:name w:val="header"/>
    <w:basedOn w:val="1"/>
    <w:link w:val="9"/>
    <w:unhideWhenUsed/>
    <w:uiPriority w:val="99"/>
    <w:pPr>
      <w:tabs>
        <w:tab w:val="center" w:pos="4153"/>
        <w:tab w:val="right" w:pos="8306"/>
      </w:tabs>
      <w:snapToGrid w:val="0"/>
      <w:jc w:val="center"/>
    </w:pPr>
    <w:rPr>
      <w:sz w:val="18"/>
      <w:szCs w:val="18"/>
    </w:rPr>
  </w:style>
  <w:style w:type="paragraph" w:styleId="4">
    <w:name w:val="Normal (Web)"/>
    <w:basedOn w:val="1"/>
    <w:qFormat/>
    <w:uiPriority w:val="0"/>
    <w:pPr>
      <w:spacing w:beforeAutospacing="1" w:afterAutospacing="1"/>
      <w:jc w:val="left"/>
    </w:pPr>
    <w:rPr>
      <w:kern w:val="0"/>
      <w:sz w:val="24"/>
    </w:rPr>
  </w:style>
  <w:style w:type="character" w:styleId="7">
    <w:name w:val="Strong"/>
    <w:basedOn w:val="6"/>
    <w:qFormat/>
    <w:uiPriority w:val="0"/>
    <w:rPr>
      <w:b/>
    </w:rPr>
  </w:style>
  <w:style w:type="character" w:styleId="8">
    <w:name w:val="Hyperlink"/>
    <w:basedOn w:val="6"/>
    <w:unhideWhenUsed/>
    <w:uiPriority w:val="99"/>
    <w:rPr>
      <w:color w:val="0000FF" w:themeColor="hyperlink"/>
      <w:u w:val="single"/>
      <w14:textFill>
        <w14:solidFill>
          <w14:schemeClr w14:val="hlink"/>
        </w14:solidFill>
      </w14:textFill>
    </w:rPr>
  </w:style>
  <w:style w:type="character" w:customStyle="1" w:styleId="9">
    <w:name w:val="页眉 字符"/>
    <w:basedOn w:val="6"/>
    <w:link w:val="3"/>
    <w:uiPriority w:val="99"/>
    <w:rPr>
      <w:sz w:val="18"/>
      <w:szCs w:val="18"/>
    </w:rPr>
  </w:style>
  <w:style w:type="character" w:customStyle="1" w:styleId="10">
    <w:name w:val="页脚 字符"/>
    <w:basedOn w:val="6"/>
    <w:link w:val="2"/>
    <w:uiPriority w:val="99"/>
    <w:rPr>
      <w:sz w:val="18"/>
      <w:szCs w:val="18"/>
    </w:rPr>
  </w:style>
  <w:style w:type="character" w:customStyle="1" w:styleId="11">
    <w:name w:val="Unresolved Mention"/>
    <w:basedOn w:val="6"/>
    <w:semiHidden/>
    <w:unhideWhenUsed/>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9</Pages>
  <Words>293</Words>
  <Characters>1672</Characters>
  <Lines>13</Lines>
  <Paragraphs>3</Paragraphs>
  <TotalTime>336</TotalTime>
  <ScaleCrop>false</ScaleCrop>
  <LinksUpToDate>false</LinksUpToDate>
  <CharactersWithSpaces>1962</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2023-08-29T09:09:00Z</dcterms:created>
  <dc:creator>lenovo</dc:creator>
  <cp:lastModifiedBy>admin</cp:lastModifiedBy>
  <dcterms:modified xsi:type="dcterms:W3CDTF">2023-09-03T01:59:59Z</dcterms:modified>
  <cp:revision>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65B1D65BA3684EDDB4590824970AE934_12</vt:lpwstr>
  </property>
</Properties>
</file>